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75"/>
        </w:tabs>
        <w:spacing w:line="500" w:lineRule="exact"/>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宋体" w:hAnsi="宋体" w:eastAsia="宋体" w:cs="宋体"/>
          <w:b/>
          <w:bCs/>
          <w:color w:val="000000"/>
          <w:sz w:val="44"/>
          <w:szCs w:val="52"/>
        </w:rPr>
        <w:t>深圳市建材交易集团有限公司</w:t>
      </w:r>
      <w:r>
        <w:rPr>
          <w:rFonts w:hint="eastAsia" w:ascii="宋体" w:hAnsi="宋体" w:eastAsia="宋体" w:cs="宋体"/>
          <w:b/>
          <w:bCs/>
          <w:color w:val="000000"/>
          <w:sz w:val="44"/>
          <w:szCs w:val="52"/>
          <w:lang w:val="en-US" w:eastAsia="zh-CN"/>
        </w:rPr>
        <w:t>外部</w:t>
      </w:r>
      <w:r>
        <w:rPr>
          <w:rFonts w:hint="eastAsia" w:ascii="宋体" w:hAnsi="宋体" w:eastAsia="宋体" w:cs="宋体"/>
          <w:b/>
          <w:bCs/>
          <w:color w:val="000000"/>
          <w:sz w:val="44"/>
          <w:szCs w:val="52"/>
        </w:rPr>
        <w:t>专家管理办法（试行）</w:t>
      </w:r>
    </w:p>
    <w:p>
      <w:pPr>
        <w:jc w:val="center"/>
        <w:rPr>
          <w:rFonts w:asciiTheme="majorEastAsia" w:hAnsiTheme="majorEastAsia" w:eastAsiaTheme="majorEastAsia"/>
          <w:b/>
          <w:color w:val="000000" w:themeColor="text1"/>
          <w:sz w:val="44"/>
          <w:szCs w:val="44"/>
          <w14:textFill>
            <w14:solidFill>
              <w14:schemeClr w14:val="tx1"/>
            </w14:solidFill>
          </w14:textFill>
        </w:rPr>
      </w:pPr>
    </w:p>
    <w:p>
      <w:pPr>
        <w:jc w:val="center"/>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第一章 总则</w:t>
      </w:r>
    </w:p>
    <w:p>
      <w:pPr>
        <w:jc w:val="center"/>
        <w:rPr>
          <w:rFonts w:hint="eastAsia" w:ascii="黑体" w:hAnsi="黑体" w:eastAsia="黑体" w:cs="黑体"/>
          <w:b/>
          <w:bCs/>
          <w:color w:val="000000"/>
          <w:kern w:val="0"/>
          <w:sz w:val="32"/>
          <w:szCs w:val="32"/>
        </w:rPr>
      </w:pPr>
    </w:p>
    <w:p>
      <w:pPr>
        <w:tabs>
          <w:tab w:val="left" w:pos="0"/>
        </w:tabs>
        <w:spacing w:line="560" w:lineRule="exact"/>
        <w:ind w:firstLine="643"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第一条 </w:t>
      </w:r>
      <w:r>
        <w:rPr>
          <w:rFonts w:hint="eastAsia" w:ascii="仿宋_GB2312" w:hAnsi="仿宋_GB2312" w:eastAsia="仿宋_GB2312" w:cs="仿宋_GB2312"/>
          <w:b w:val="0"/>
          <w:bCs w:val="0"/>
          <w:color w:val="000000" w:themeColor="text1"/>
          <w:sz w:val="32"/>
          <w:szCs w:val="32"/>
          <w14:textFill>
            <w14:solidFill>
              <w14:schemeClr w14:val="tx1"/>
            </w14:solidFill>
          </w14:textFill>
        </w:rPr>
        <w:t>制度编制目的、依据</w:t>
      </w:r>
    </w:p>
    <w:p>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加强深圳市建材交易集团有限公司（以下简称深圳建材）对评标评审专家和专家库的监督管理，规范评标评审专家行为，提高公司招标采购评标评审工作质量，依据《中华人民共和国招标投标法》《评标专家和评标专家库管理暂行办法》（国家发展计划委员会令第29号）《广东省人民政府办公厅关于印发广东省综合评标评审专家库和评标评审专家管理暂行办法的通知》（粤府办〔2020〕1号）等规定，制定本办法。</w:t>
      </w:r>
    </w:p>
    <w:p>
      <w:pPr>
        <w:tabs>
          <w:tab w:val="left" w:pos="0"/>
        </w:tabs>
        <w:spacing w:line="560" w:lineRule="exact"/>
        <w:ind w:firstLine="643"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第二条 </w:t>
      </w:r>
      <w:r>
        <w:rPr>
          <w:rFonts w:hint="eastAsia" w:ascii="仿宋_GB2312" w:hAnsi="仿宋_GB2312" w:eastAsia="仿宋_GB2312" w:cs="仿宋_GB2312"/>
          <w:b w:val="0"/>
          <w:bCs w:val="0"/>
          <w:color w:val="000000"/>
          <w:sz w:val="32"/>
          <w:szCs w:val="32"/>
        </w:rPr>
        <w:t>制度适用范围</w:t>
      </w:r>
    </w:p>
    <w:p>
      <w:pPr>
        <w:tabs>
          <w:tab w:val="left" w:pos="0"/>
        </w:tabs>
        <w:spacing w:line="560" w:lineRule="exact"/>
        <w:ind w:firstLine="640" w:firstLineChars="200"/>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深圳建材外部评标评审专家的申请、推荐、资格认定、聘用及专家库的组建、使用、管理等活动适用本办法。</w:t>
      </w:r>
    </w:p>
    <w:p>
      <w:pPr>
        <w:tabs>
          <w:tab w:val="left" w:pos="0"/>
        </w:tabs>
        <w:spacing w:line="560" w:lineRule="exact"/>
        <w:ind w:firstLine="643"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第三条 </w:t>
      </w:r>
      <w:r>
        <w:rPr>
          <w:rFonts w:hint="eastAsia" w:ascii="仿宋_GB2312" w:hAnsi="仿宋_GB2312" w:eastAsia="仿宋_GB2312" w:cs="仿宋_GB2312"/>
          <w:b w:val="0"/>
          <w:bCs w:val="0"/>
          <w:color w:val="000000"/>
          <w:sz w:val="32"/>
          <w:szCs w:val="32"/>
        </w:rPr>
        <w:t>定义</w:t>
      </w:r>
    </w:p>
    <w:p>
      <w:pPr>
        <w:tabs>
          <w:tab w:val="left" w:pos="0"/>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本办法所称评标评审专家，是指深圳建材外部的、符合本办法规定条件和要求，经审核选聘，以独立身份参加深圳建材招标采购评标评审，纳入深圳建材外部评标评审专家库（以下简称专家库）管理的人员。</w:t>
      </w:r>
    </w:p>
    <w:p>
      <w:pPr>
        <w:tabs>
          <w:tab w:val="left" w:pos="0"/>
        </w:tabs>
        <w:spacing w:line="560" w:lineRule="exact"/>
        <w:ind w:firstLine="643"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第四条 </w:t>
      </w:r>
      <w:r>
        <w:rPr>
          <w:rFonts w:hint="eastAsia" w:ascii="仿宋_GB2312" w:hAnsi="仿宋_GB2312" w:eastAsia="仿宋_GB2312" w:cs="仿宋_GB2312"/>
          <w:color w:val="000000"/>
          <w:sz w:val="32"/>
          <w:szCs w:val="32"/>
        </w:rPr>
        <w:t>专家库实行统一资格认定、集中管理、资源共享和随机抽取的管理原则。为保证评标评审专家质量与数量，由深圳建材负责评标评审专家的联系与资源开发；入库专家通过深圳地铁智能招采管理平台进行入库信息填报，专家库管理部门对其资格进行审核。</w:t>
      </w:r>
    </w:p>
    <w:p>
      <w:pPr>
        <w:tabs>
          <w:tab w:val="left" w:pos="0"/>
        </w:tabs>
        <w:spacing w:line="560" w:lineRule="exact"/>
        <w:ind w:firstLine="643" w:firstLineChars="200"/>
        <w:outlineLvl w:val="1"/>
        <w:rPr>
          <w:rFonts w:ascii="宋体" w:hAnsi="宋体" w:cs="宋体"/>
          <w:b/>
          <w:bCs/>
          <w:color w:val="000000"/>
          <w:sz w:val="32"/>
          <w:szCs w:val="32"/>
        </w:rPr>
      </w:pPr>
    </w:p>
    <w:p>
      <w:pPr>
        <w:pStyle w:val="2"/>
        <w:tabs>
          <w:tab w:val="left" w:pos="0"/>
        </w:tabs>
        <w:spacing w:before="0" w:after="0" w:line="520" w:lineRule="exact"/>
        <w:jc w:val="center"/>
        <w:rPr>
          <w:rFonts w:cs="黑体"/>
          <w:b/>
          <w:bCs/>
          <w:color w:val="000000"/>
          <w:sz w:val="32"/>
        </w:rPr>
      </w:pPr>
      <w:r>
        <w:rPr>
          <w:rFonts w:hint="eastAsia" w:cs="黑体"/>
          <w:b/>
          <w:bCs/>
          <w:color w:val="000000"/>
          <w:sz w:val="32"/>
        </w:rPr>
        <w:t>第二章 管理职责</w:t>
      </w:r>
    </w:p>
    <w:p>
      <w:pPr>
        <w:jc w:val="center"/>
        <w:rPr>
          <w:rFonts w:hint="eastAsia" w:ascii="黑体" w:hAnsi="黑体" w:eastAsia="黑体" w:cs="黑体"/>
          <w:b/>
          <w:bCs/>
          <w:color w:val="000000"/>
          <w:kern w:val="0"/>
          <w:sz w:val="32"/>
          <w:szCs w:val="32"/>
        </w:rPr>
      </w:pPr>
    </w:p>
    <w:p>
      <w:pPr>
        <w:tabs>
          <w:tab w:val="left" w:pos="0"/>
        </w:tabs>
        <w:spacing w:line="560" w:lineRule="exact"/>
        <w:ind w:firstLine="643" w:firstLineChars="200"/>
        <w:jc w:val="both"/>
        <w:outlineLvl w:val="1"/>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第五条 </w:t>
      </w:r>
      <w:r>
        <w:rPr>
          <w:rFonts w:hint="eastAsia" w:ascii="仿宋_GB2312" w:hAnsi="仿宋_GB2312" w:eastAsia="仿宋_GB2312" w:cs="仿宋_GB2312"/>
          <w:b w:val="0"/>
          <w:bCs w:val="0"/>
          <w:color w:val="000000"/>
          <w:sz w:val="32"/>
          <w:szCs w:val="32"/>
        </w:rPr>
        <w:t>成本合约部职责</w:t>
      </w:r>
    </w:p>
    <w:p>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成本合约部作为归口管理部门，履行下列职责：</w:t>
      </w:r>
    </w:p>
    <w:p>
      <w:pPr>
        <w:numPr>
          <w:ilvl w:val="0"/>
          <w:numId w:val="0"/>
        </w:numPr>
        <w:tabs>
          <w:tab w:val="left" w:pos="0"/>
        </w:tabs>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（一）按国家规定，建立、健全公司评标评审专家及专家库管理的制度、办法；</w:t>
      </w:r>
    </w:p>
    <w:p>
      <w:pPr>
        <w:numPr>
          <w:ilvl w:val="0"/>
          <w:numId w:val="0"/>
        </w:numPr>
        <w:tabs>
          <w:tab w:val="left" w:pos="0"/>
        </w:tabs>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（二）组织安排对评标评审专家申请人的资格认证和复审；</w:t>
      </w:r>
    </w:p>
    <w:p>
      <w:pPr>
        <w:numPr>
          <w:ilvl w:val="0"/>
          <w:numId w:val="0"/>
        </w:numPr>
        <w:tabs>
          <w:tab w:val="left" w:pos="0"/>
        </w:tabs>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（三）入库专家个人信息录入和档案管理；</w:t>
      </w:r>
    </w:p>
    <w:p>
      <w:pPr>
        <w:numPr>
          <w:ilvl w:val="0"/>
          <w:numId w:val="0"/>
        </w:numPr>
        <w:tabs>
          <w:tab w:val="left" w:pos="0"/>
        </w:tabs>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（四）评标评审专家的入库、出库、信息变更等动态管理；</w:t>
      </w:r>
    </w:p>
    <w:p>
      <w:pPr>
        <w:numPr>
          <w:ilvl w:val="0"/>
          <w:numId w:val="0"/>
        </w:numPr>
        <w:tabs>
          <w:tab w:val="left" w:pos="0"/>
        </w:tabs>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（五）组织对专家库抽取平台软件的使用、维护和专家库专业目录的补充工作；</w:t>
      </w:r>
    </w:p>
    <w:p>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（六）对评标评审专家的相关培训和考核职责。</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条</w:t>
      </w:r>
      <w:r>
        <w:rPr>
          <w:rFonts w:hint="eastAsia" w:ascii="仿宋" w:hAnsi="仿宋" w:eastAsia="仿宋"/>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sz w:val="32"/>
          <w:szCs w:val="32"/>
        </w:rPr>
        <w:t>公司所有员工对专家库信息负有保密义务，未经允许，不得泄漏专家库任何资料，不得对外提供专家库构成及名单。</w:t>
      </w:r>
    </w:p>
    <w:p>
      <w:pPr>
        <w:spacing w:line="560" w:lineRule="exact"/>
        <w:ind w:firstLine="640" w:firstLineChars="200"/>
        <w:rPr>
          <w:rFonts w:hint="eastAsia" w:ascii="仿宋_GB2312" w:hAnsi="仿宋_GB2312" w:eastAsia="仿宋_GB2312" w:cs="仿宋_GB2312"/>
          <w:color w:val="000000"/>
          <w:sz w:val="32"/>
          <w:szCs w:val="32"/>
        </w:rPr>
      </w:pPr>
    </w:p>
    <w:p>
      <w:pPr>
        <w:jc w:val="center"/>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第三章 评标评审专家资格管理</w:t>
      </w:r>
    </w:p>
    <w:p>
      <w:pPr>
        <w:jc w:val="center"/>
        <w:rPr>
          <w:rFonts w:ascii="黑体" w:hAnsi="黑体" w:eastAsia="黑体" w:cs="黑体"/>
          <w:b/>
          <w:bCs/>
          <w:color w:val="000000"/>
          <w:kern w:val="0"/>
          <w:sz w:val="32"/>
          <w:szCs w:val="32"/>
        </w:rPr>
      </w:pPr>
    </w:p>
    <w:p>
      <w:pPr>
        <w:tabs>
          <w:tab w:val="left" w:pos="0"/>
        </w:tabs>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七</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入选专家库的评标评审专家，应具备如下基本条件：</w:t>
      </w:r>
    </w:p>
    <w:p>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（一）具有完全民事行为能力,身体健康,年龄不超过65周岁；</w:t>
      </w:r>
    </w:p>
    <w:p>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（二）从事相关专业技术工作满8年并具有中级以上专业技术职称或取得国家相关专业执业注册类资格最高等级；</w:t>
      </w:r>
    </w:p>
    <w:p>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（三）熟悉招标投标法律法规、政策及招标采购评审工作相关要求，具有良好的专业素质和职业道德；</w:t>
      </w:r>
    </w:p>
    <w:p>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（四）能熟练使用计算机完成电子招标评审工作；</w:t>
      </w:r>
    </w:p>
    <w:p>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（五）未受过刑事处罚，未曾被开除公职或者被永久性取消评标评审专家资格；</w:t>
      </w:r>
    </w:p>
    <w:p>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（六）对特殊专业,经批准后,本条第(一)、(二)项规定的条件可以适当放宽。</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八</w:t>
      </w:r>
      <w:r>
        <w:rPr>
          <w:rFonts w:hint="eastAsia" w:ascii="仿宋_GB2312" w:hAnsi="仿宋_GB2312" w:eastAsia="仿宋_GB2312" w:cs="仿宋_GB2312"/>
          <w:b/>
          <w:bCs/>
          <w:color w:val="000000"/>
          <w:sz w:val="32"/>
          <w:szCs w:val="32"/>
        </w:rPr>
        <w:t>条</w:t>
      </w:r>
      <w:r>
        <w:rPr>
          <w:rFonts w:hint="eastAsia" w:ascii="仿宋" w:hAnsi="仿宋" w:eastAsia="仿宋"/>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sz w:val="32"/>
          <w:szCs w:val="32"/>
        </w:rPr>
        <w:t>评标评审专家采取个人申请或由所在单位、行业组织或行业其他专家推荐等方式，并按以下规定程序办理申请手续：</w:t>
      </w:r>
    </w:p>
    <w:p>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（一）由申请人登陆深圳地铁智能招采管理平台（网址：https://cg.shenzhenmc.com/szmccg/j_form）进行专家注册并填写基本信息资料；</w:t>
      </w:r>
    </w:p>
    <w:p>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（二）申请人通过平台上传本人身份证、学历（学位）证、职称证书或执业资格证书等扫描件；</w:t>
      </w:r>
    </w:p>
    <w:p>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（三）专家库审核人员进行信息审核确定；</w:t>
      </w:r>
    </w:p>
    <w:p>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（四）对通过资格审核的申请人发放聘书并办理入库手续；</w:t>
      </w:r>
    </w:p>
    <w:p>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（五）专家申请材料及入库后的有关活动资料，按规定全部纳入专家档案，安排专人统一保管。</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九</w:t>
      </w:r>
      <w:r>
        <w:rPr>
          <w:rFonts w:hint="eastAsia" w:ascii="仿宋_GB2312" w:hAnsi="仿宋_GB2312" w:eastAsia="仿宋_GB2312" w:cs="仿宋_GB2312"/>
          <w:b/>
          <w:bCs/>
          <w:color w:val="000000"/>
          <w:sz w:val="32"/>
          <w:szCs w:val="32"/>
        </w:rPr>
        <w:t>条</w:t>
      </w:r>
      <w:r>
        <w:rPr>
          <w:rFonts w:hint="eastAsia" w:ascii="仿宋" w:hAnsi="仿宋" w:eastAsia="仿宋"/>
          <w:color w:val="000000" w:themeColor="text1"/>
          <w:sz w:val="30"/>
          <w:szCs w:val="30"/>
          <w14:textFill>
            <w14:solidFill>
              <w14:schemeClr w14:val="tx1"/>
            </w14:solidFill>
          </w14:textFill>
        </w:rPr>
        <w:t>　</w:t>
      </w:r>
      <w:r>
        <w:rPr>
          <w:rFonts w:hint="eastAsia" w:ascii="仿宋_GB2312" w:hAnsi="仿宋_GB2312" w:eastAsia="仿宋_GB2312" w:cs="仿宋_GB2312"/>
          <w:color w:val="000000"/>
          <w:sz w:val="32"/>
          <w:szCs w:val="32"/>
        </w:rPr>
        <w:t>对进入专家库的专家，每年进行复审。对不符合第</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条相关要求的或因其他原因不适宜继续担任专家的，应予以调整，取消其专家资格，并及时开展专家库更新和补录工作。</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第十条</w:t>
      </w:r>
      <w:r>
        <w:rPr>
          <w:rFonts w:hint="eastAsia" w:ascii="仿宋" w:hAnsi="仿宋" w:eastAsia="仿宋"/>
          <w:color w:val="000000" w:themeColor="text1"/>
          <w:sz w:val="30"/>
          <w:szCs w:val="30"/>
          <w14:textFill>
            <w14:solidFill>
              <w14:schemeClr w14:val="tx1"/>
            </w14:solidFill>
          </w14:textFill>
        </w:rPr>
        <w:t>　</w:t>
      </w:r>
      <w:r>
        <w:rPr>
          <w:rFonts w:hint="eastAsia" w:ascii="仿宋_GB2312" w:hAnsi="仿宋_GB2312" w:eastAsia="仿宋_GB2312" w:cs="仿宋_GB2312"/>
          <w:color w:val="000000"/>
          <w:sz w:val="32"/>
          <w:szCs w:val="32"/>
        </w:rPr>
        <w:t>建立专家评价机制，招标经办人可对参加评标评审的专家表现进行评价，并将评价结果反馈至专家库管理部门进行汇总、存档。具体评价标准及要求见《评标专家工作评价表》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附件1）</w:t>
      </w:r>
      <w:r>
        <w:rPr>
          <w:rFonts w:hint="eastAsia" w:ascii="仿宋_GB2312" w:hAnsi="仿宋_GB2312" w:eastAsia="仿宋_GB2312" w:cs="仿宋_GB2312"/>
          <w:color w:val="000000"/>
          <w:sz w:val="32"/>
          <w:szCs w:val="32"/>
        </w:rPr>
        <w:t>。</w:t>
      </w:r>
    </w:p>
    <w:p>
      <w:pPr>
        <w:spacing w:line="560" w:lineRule="exact"/>
        <w:ind w:firstLine="643" w:firstLineChars="200"/>
        <w:rPr>
          <w:rFonts w:ascii="仿宋" w:hAnsi="仿宋" w:eastAsia="仿宋"/>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条</w:t>
      </w:r>
      <w:r>
        <w:rPr>
          <w:rFonts w:hint="eastAsia" w:ascii="仿宋" w:hAnsi="仿宋" w:eastAsia="仿宋"/>
          <w:color w:val="000000" w:themeColor="text1"/>
          <w:sz w:val="30"/>
          <w:szCs w:val="30"/>
          <w14:textFill>
            <w14:solidFill>
              <w14:schemeClr w14:val="tx1"/>
            </w14:solidFill>
          </w14:textFill>
        </w:rPr>
        <w:t>　</w:t>
      </w:r>
      <w:r>
        <w:rPr>
          <w:rFonts w:hint="eastAsia" w:ascii="仿宋_GB2312" w:hAnsi="仿宋_GB2312" w:eastAsia="仿宋_GB2312" w:cs="仿宋_GB2312"/>
          <w:color w:val="000000"/>
          <w:sz w:val="32"/>
          <w:szCs w:val="32"/>
        </w:rPr>
        <w:t>评标评审专家如有下列情形之一者，由专家库管理部门提出书面意见，报公司业务分管领导批准后，应立即取消其专家资格，情节严重的应在深圳市地铁集团有限公司范围内予以通报。相关情形如下：</w:t>
      </w:r>
    </w:p>
    <w:p>
      <w:pPr>
        <w:pStyle w:val="1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（一）入库申请时提供的资料造假；</w:t>
      </w:r>
    </w:p>
    <w:p>
      <w:pPr>
        <w:pStyle w:val="1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（二）一年内评价为“不合格”三次以上者；</w:t>
      </w:r>
    </w:p>
    <w:p>
      <w:pPr>
        <w:pStyle w:val="1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（三）私下接触投标人，收受投标人财物或者其他好处；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（四）透露对投标文件的评审和比较、中标候选人的推荐情况以及与评标有关的其他情况；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（五）无正当理由拒不参加评标评审工作的；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（六）有本办法第十</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条第（一）款情形之一，应主动回避而未回避的；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（七）因身体健康及其它原因，导致确实不再适宜担任评标评审专家的；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（八）本人主动提出不再担任评标评审专家的。</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jc w:val="center"/>
        <w:rPr>
          <w:rFonts w:asciiTheme="minorEastAsia" w:hAnsiTheme="minorEastAsia" w:cstheme="minorEastAsia"/>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第四章 评标评审专家的权利和义务</w:t>
      </w:r>
    </w:p>
    <w:p>
      <w:pPr>
        <w:jc w:val="center"/>
        <w:rPr>
          <w:rFonts w:ascii="黑体" w:hAnsi="黑体" w:eastAsia="黑体" w:cs="黑体"/>
          <w:b/>
          <w:bCs/>
          <w:color w:val="000000"/>
          <w:kern w:val="0"/>
          <w:sz w:val="32"/>
          <w:szCs w:val="32"/>
        </w:rPr>
      </w:pP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评标评审专家享有以下权利：</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（一）接受招标人或其招标代理机构聘请，担任招标项目评标委员会评标专家成员，参与相关招标采购项目评审活动；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（二）依法对投标文件进行独立评审，提出评审意见，不受任何单位或者个人的干预；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（三）接受招标采购项目评审或评标活动的劳务报酬；</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（四）法律、行政法规规定的其他权利。</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评标评审专家应承担以下义务：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（一）有下列情形之一的，评标评审专家应当主动提出回避，不得担任该项目的评标评审委员会成员：</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1.与投标人有经济利益关系，可能影响对投标公正评审的；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2.投标人或投标人主要负责人的亲属；</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3.项目主管部门或者行政监督部门的人员；</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4.曾因在招标评标评审及其他与招标投标有关活动从事违法行为而受过行政处罚或刑事处罚的。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（二）严格遵守评标评审工作纪律，全过程严格保密，不得私下接触投标人，不得收受他人的财物或者其他好处，不得透露对投标文件的评审情况、中标候选人的推荐情况以及与评标有关的其他情况。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（三）客观公正地履行职责，遵守职业道德进行评标，并对所提出的评审意见承担个人责任。</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（四）协助、配合有关行政监督部门的监督、检查。</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（五）法律、行政法规规定的其他义务。</w:t>
      </w:r>
    </w:p>
    <w:p>
      <w:pPr>
        <w:spacing w:line="560" w:lineRule="exact"/>
        <w:ind w:firstLine="640" w:firstLineChars="200"/>
        <w:rPr>
          <w:rFonts w:hint="eastAsia" w:ascii="仿宋_GB2312" w:hAnsi="仿宋_GB2312" w:eastAsia="仿宋_GB2312" w:cs="仿宋_GB2312"/>
          <w:color w:val="000000"/>
          <w:sz w:val="32"/>
          <w:szCs w:val="32"/>
        </w:rPr>
      </w:pPr>
    </w:p>
    <w:p>
      <w:pPr>
        <w:jc w:val="center"/>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第五章 专家评审费</w:t>
      </w:r>
    </w:p>
    <w:p>
      <w:pPr>
        <w:jc w:val="center"/>
        <w:rPr>
          <w:rFonts w:hint="eastAsia" w:asciiTheme="minorEastAsia" w:hAnsiTheme="minorEastAsia" w:cstheme="minorEastAsia"/>
          <w:b/>
          <w:color w:val="000000" w:themeColor="text1"/>
          <w:sz w:val="32"/>
          <w:szCs w:val="32"/>
          <w14:textFill>
            <w14:solidFill>
              <w14:schemeClr w14:val="tx1"/>
            </w14:solidFill>
          </w14:textFill>
        </w:rPr>
      </w:pPr>
    </w:p>
    <w:p>
      <w:pPr>
        <w:spacing w:line="560" w:lineRule="exact"/>
        <w:ind w:firstLine="643" w:firstLineChars="200"/>
        <w:rPr>
          <w:rFonts w:ascii="仿宋" w:hAnsi="仿宋" w:eastAsia="仿宋"/>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专家评审费由评标评审费用与补助费用两部分组成。本办法的费用标准适用于入选专家库的在库专家。</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评标评审费用按照评标时间的整数时数进行计算和支付。超过整数时数不足0.5小时（含0.5小时）的不计算，0.5小时以上至1小时按增加1小时计算。评审时间从系统所通知的专家到达评审地点集中的时间起至评标结束（完成评审报告）止。</w:t>
      </w:r>
    </w:p>
    <w:p>
      <w:pPr>
        <w:spacing w:line="560" w:lineRule="exact"/>
        <w:ind w:firstLine="643" w:firstLineChars="200"/>
        <w:rPr>
          <w:rFonts w:ascii="仿宋" w:hAnsi="仿宋" w:eastAsia="仿宋"/>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条</w:t>
      </w:r>
      <w:r>
        <w:rPr>
          <w:rFonts w:hint="eastAsia" w:ascii="仿宋" w:hAnsi="仿宋" w:eastAsia="仿宋"/>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sz w:val="32"/>
          <w:szCs w:val="32"/>
        </w:rPr>
        <w:t>专家评审费按下列标准计算：</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（一）评标评审费用</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1.一般项目</w:t>
      </w:r>
    </w:p>
    <w:tbl>
      <w:tblPr>
        <w:tblStyle w:val="7"/>
        <w:tblW w:w="8120" w:type="dxa"/>
        <w:jc w:val="center"/>
        <w:tblLayout w:type="fixed"/>
        <w:tblCellMar>
          <w:top w:w="0" w:type="dxa"/>
          <w:left w:w="108" w:type="dxa"/>
          <w:bottom w:w="0" w:type="dxa"/>
          <w:right w:w="108" w:type="dxa"/>
        </w:tblCellMar>
      </w:tblPr>
      <w:tblGrid>
        <w:gridCol w:w="1316"/>
        <w:gridCol w:w="1276"/>
        <w:gridCol w:w="1701"/>
        <w:gridCol w:w="3827"/>
      </w:tblGrid>
      <w:tr>
        <w:tblPrEx>
          <w:tblCellMar>
            <w:top w:w="0" w:type="dxa"/>
            <w:left w:w="108" w:type="dxa"/>
            <w:bottom w:w="0" w:type="dxa"/>
            <w:right w:w="108" w:type="dxa"/>
          </w:tblCellMar>
        </w:tblPrEx>
        <w:trPr>
          <w:trHeight w:val="497" w:hRule="atLeast"/>
          <w:jc w:val="center"/>
        </w:trPr>
        <w:tc>
          <w:tcPr>
            <w:tcW w:w="131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评标类别</w:t>
            </w:r>
          </w:p>
        </w:tc>
        <w:tc>
          <w:tcPr>
            <w:tcW w:w="12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专家类别</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评标工作时间</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评审费</w:t>
            </w:r>
          </w:p>
        </w:tc>
      </w:tr>
      <w:tr>
        <w:tblPrEx>
          <w:tblCellMar>
            <w:top w:w="0" w:type="dxa"/>
            <w:left w:w="108" w:type="dxa"/>
            <w:bottom w:w="0" w:type="dxa"/>
            <w:right w:w="108" w:type="dxa"/>
          </w:tblCellMar>
        </w:tblPrEx>
        <w:trPr>
          <w:trHeight w:val="508" w:hRule="atLeast"/>
          <w:jc w:val="center"/>
        </w:trPr>
        <w:tc>
          <w:tcPr>
            <w:tcW w:w="131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普通</w:t>
            </w:r>
          </w:p>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评标</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普通</w:t>
            </w:r>
          </w:p>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专家</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≤3小时</w:t>
            </w:r>
          </w:p>
        </w:tc>
        <w:tc>
          <w:tcPr>
            <w:tcW w:w="38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400元</w:t>
            </w:r>
          </w:p>
        </w:tc>
      </w:tr>
      <w:tr>
        <w:tblPrEx>
          <w:tblCellMar>
            <w:top w:w="0" w:type="dxa"/>
            <w:left w:w="108" w:type="dxa"/>
            <w:bottom w:w="0" w:type="dxa"/>
            <w:right w:w="108" w:type="dxa"/>
          </w:tblCellMar>
        </w:tblPrEx>
        <w:trPr>
          <w:trHeight w:val="508" w:hRule="atLeast"/>
          <w:jc w:val="center"/>
        </w:trPr>
        <w:tc>
          <w:tcPr>
            <w:tcW w:w="1316"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cs="宋体" w:asciiTheme="minorEastAsia" w:hAnsiTheme="minorEastAsia"/>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＞3小时</w:t>
            </w:r>
          </w:p>
        </w:tc>
        <w:tc>
          <w:tcPr>
            <w:tcW w:w="38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超过部分每小时增加150元</w:t>
            </w:r>
          </w:p>
        </w:tc>
      </w:tr>
      <w:tr>
        <w:tblPrEx>
          <w:tblCellMar>
            <w:top w:w="0" w:type="dxa"/>
            <w:left w:w="108" w:type="dxa"/>
            <w:bottom w:w="0" w:type="dxa"/>
            <w:right w:w="108" w:type="dxa"/>
          </w:tblCellMar>
        </w:tblPrEx>
        <w:trPr>
          <w:trHeight w:val="508" w:hRule="atLeast"/>
          <w:jc w:val="center"/>
        </w:trPr>
        <w:tc>
          <w:tcPr>
            <w:tcW w:w="1316"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cs="宋体" w:asciiTheme="minorEastAsia" w:hAnsiTheme="minorEastAsia"/>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8小时/天</w:t>
            </w:r>
          </w:p>
        </w:tc>
        <w:tc>
          <w:tcPr>
            <w:tcW w:w="38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1300元/天</w:t>
            </w:r>
          </w:p>
        </w:tc>
      </w:tr>
      <w:tr>
        <w:tblPrEx>
          <w:tblCellMar>
            <w:top w:w="0" w:type="dxa"/>
            <w:left w:w="108" w:type="dxa"/>
            <w:bottom w:w="0" w:type="dxa"/>
            <w:right w:w="108" w:type="dxa"/>
          </w:tblCellMar>
        </w:tblPrEx>
        <w:trPr>
          <w:trHeight w:val="508" w:hRule="atLeast"/>
          <w:jc w:val="center"/>
        </w:trPr>
        <w:tc>
          <w:tcPr>
            <w:tcW w:w="13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＞8小时</w:t>
            </w:r>
          </w:p>
        </w:tc>
        <w:tc>
          <w:tcPr>
            <w:tcW w:w="38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超过部分每小时增加200元</w:t>
            </w:r>
          </w:p>
        </w:tc>
      </w:tr>
      <w:tr>
        <w:tblPrEx>
          <w:tblCellMar>
            <w:top w:w="0" w:type="dxa"/>
            <w:left w:w="108" w:type="dxa"/>
            <w:bottom w:w="0" w:type="dxa"/>
            <w:right w:w="108" w:type="dxa"/>
          </w:tblCellMar>
        </w:tblPrEx>
        <w:trPr>
          <w:trHeight w:val="508" w:hRule="atLeast"/>
          <w:jc w:val="center"/>
        </w:trPr>
        <w:tc>
          <w:tcPr>
            <w:tcW w:w="13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跨天</w:t>
            </w:r>
          </w:p>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评标</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普通</w:t>
            </w:r>
          </w:p>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专家</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8小时/天</w:t>
            </w:r>
          </w:p>
        </w:tc>
        <w:tc>
          <w:tcPr>
            <w:tcW w:w="38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1300元/天</w:t>
            </w:r>
            <w:bookmarkStart w:id="0" w:name="_GoBack"/>
            <w:bookmarkEnd w:id="0"/>
          </w:p>
        </w:tc>
      </w:tr>
      <w:tr>
        <w:tblPrEx>
          <w:tblCellMar>
            <w:top w:w="0" w:type="dxa"/>
            <w:left w:w="108" w:type="dxa"/>
            <w:bottom w:w="0" w:type="dxa"/>
            <w:right w:w="108" w:type="dxa"/>
          </w:tblCellMar>
        </w:tblPrEx>
        <w:trPr>
          <w:trHeight w:val="508"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＞8小时</w:t>
            </w:r>
          </w:p>
        </w:tc>
        <w:tc>
          <w:tcPr>
            <w:tcW w:w="38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超过部分每小时增加200元</w:t>
            </w:r>
          </w:p>
        </w:tc>
      </w:tr>
      <w:tr>
        <w:tblPrEx>
          <w:tblCellMar>
            <w:top w:w="0" w:type="dxa"/>
            <w:left w:w="108" w:type="dxa"/>
            <w:bottom w:w="0" w:type="dxa"/>
            <w:right w:w="108" w:type="dxa"/>
          </w:tblCellMar>
        </w:tblPrEx>
        <w:trPr>
          <w:trHeight w:val="517" w:hRule="atLeast"/>
          <w:jc w:val="center"/>
        </w:trPr>
        <w:tc>
          <w:tcPr>
            <w:tcW w:w="429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评标组长</w:t>
            </w:r>
          </w:p>
        </w:tc>
        <w:tc>
          <w:tcPr>
            <w:tcW w:w="38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当次评审费用基础上增加200元</w:t>
            </w:r>
          </w:p>
        </w:tc>
      </w:tr>
    </w:tbl>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2.复审项目</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复审项目评标评审费用发放标准按一般项目执行。但因专家评审错误引起的复审项目，不予发放评审费（复审补抽专家除外）。</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3.特殊项目</w:t>
      </w:r>
    </w:p>
    <w:p>
      <w:pPr>
        <w:widowControl/>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对于技术含量高、专业性强、评审复杂、行业特殊的项目，评标评审费用可结合项目实际情况一事一议。</w:t>
      </w:r>
    </w:p>
    <w:p>
      <w:pPr>
        <w:widowControl/>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特殊项目评标评审费用</w:t>
      </w:r>
      <w:r>
        <w:rPr>
          <w:rFonts w:ascii="仿宋_GB2312" w:hAnsi="宋体" w:eastAsia="仿宋_GB2312" w:cs="仿宋_GB2312"/>
          <w:color w:val="000000"/>
          <w:kern w:val="0"/>
          <w:sz w:val="31"/>
          <w:szCs w:val="31"/>
          <w:lang w:bidi="ar"/>
        </w:rPr>
        <w:t>在5万元（不含）以下</w:t>
      </w:r>
      <w:r>
        <w:rPr>
          <w:rFonts w:hint="eastAsia" w:ascii="仿宋_GB2312" w:hAnsi="宋体" w:eastAsia="仿宋_GB2312" w:cs="仿宋_GB2312"/>
          <w:color w:val="000000"/>
          <w:kern w:val="0"/>
          <w:sz w:val="31"/>
          <w:szCs w:val="31"/>
          <w:lang w:bidi="ar"/>
        </w:rPr>
        <w:t>的</w:t>
      </w: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报公司业务分管领导审批；</w:t>
      </w:r>
      <w:r>
        <w:rPr>
          <w:rFonts w:hint="eastAsia" w:ascii="仿宋_GB2312" w:hAnsi="仿宋_GB2312" w:eastAsia="仿宋_GB2312" w:cs="仿宋_GB2312"/>
          <w:color w:val="000000"/>
          <w:sz w:val="32"/>
          <w:szCs w:val="32"/>
        </w:rPr>
        <w:t>特殊项目评标评审费用</w:t>
      </w:r>
      <w:r>
        <w:rPr>
          <w:rFonts w:ascii="仿宋_GB2312" w:hAnsi="宋体" w:eastAsia="仿宋_GB2312" w:cs="仿宋_GB2312"/>
          <w:color w:val="000000"/>
          <w:kern w:val="0"/>
          <w:sz w:val="31"/>
          <w:szCs w:val="31"/>
          <w:lang w:bidi="ar"/>
        </w:rPr>
        <w:t>在5万元（含）以上</w:t>
      </w:r>
      <w:r>
        <w:rPr>
          <w:rFonts w:hint="eastAsia" w:ascii="仿宋_GB2312" w:hAnsi="宋体" w:eastAsia="仿宋_GB2312" w:cs="仿宋_GB2312"/>
          <w:color w:val="000000"/>
          <w:kern w:val="0"/>
          <w:sz w:val="31"/>
          <w:szCs w:val="31"/>
          <w:lang w:bidi="ar"/>
        </w:rPr>
        <w:t>的，报公司</w:t>
      </w:r>
      <w:r>
        <w:rPr>
          <w:rFonts w:ascii="仿宋_GB2312" w:hAnsi="宋体" w:eastAsia="仿宋_GB2312" w:cs="仿宋_GB2312"/>
          <w:color w:val="000000"/>
          <w:kern w:val="0"/>
          <w:sz w:val="31"/>
          <w:szCs w:val="31"/>
          <w:lang w:bidi="ar"/>
        </w:rPr>
        <w:t>总经理</w:t>
      </w:r>
      <w:r>
        <w:rPr>
          <w:rFonts w:hint="eastAsia" w:ascii="仿宋_GB2312" w:hAnsi="宋体" w:eastAsia="仿宋_GB2312" w:cs="仿宋_GB2312"/>
          <w:color w:val="000000"/>
          <w:kern w:val="0"/>
          <w:sz w:val="31"/>
          <w:szCs w:val="31"/>
          <w:lang w:bidi="ar"/>
        </w:rPr>
        <w:t>审批。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4.评标过程中出现招标失败情形的，评审费按实际评标时间计费。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(二)相关补助标准</w:t>
      </w:r>
    </w:p>
    <w:p>
      <w:pPr>
        <w:spacing w:line="560" w:lineRule="exact"/>
        <w:ind w:firstLine="640" w:firstLineChars="200"/>
      </w:pPr>
      <w:r>
        <w:rPr>
          <w:rFonts w:hint="eastAsia" w:ascii="仿宋_GB2312" w:hAnsi="仿宋_GB2312" w:eastAsia="仿宋_GB2312" w:cs="仿宋_GB2312"/>
          <w:color w:val="000000"/>
          <w:sz w:val="32"/>
          <w:szCs w:val="32"/>
        </w:rPr>
        <w:t>1.在途补助：在途补助包括途中补助和交通补助。</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（1）本地评标评审和远程异地评标评审，不提供在途补助；</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（2）深圳市外专家来深开展评标评审，提供在途补助。</w:t>
      </w:r>
    </w:p>
    <w:p>
      <w:pPr>
        <w:spacing w:line="560" w:lineRule="exact"/>
        <w:ind w:firstLine="640" w:firstLineChars="200"/>
        <w:rPr>
          <w:rFonts w:ascii="仿宋_GB2312" w:hAnsi="仿宋_GB2312" w:eastAsia="仿宋_GB2312" w:cs="仿宋_GB2312"/>
          <w:color w:val="000000"/>
          <w:sz w:val="32"/>
          <w:szCs w:val="32"/>
        </w:rPr>
      </w:pPr>
      <w:r>
        <w:rPr>
          <w:rFonts w:hint="eastAsia" w:ascii="Malgun Gothic" w:hAnsi="Malgun Gothic" w:eastAsia="Malgun Gothic" w:cs="Calibri"/>
          <w:color w:val="000000"/>
          <w:sz w:val="32"/>
          <w:szCs w:val="32"/>
        </w:rPr>
        <w:t>①</w:t>
      </w:r>
      <w:r>
        <w:rPr>
          <w:rFonts w:hint="eastAsia" w:ascii="仿宋_GB2312" w:hAnsi="仿宋_GB2312" w:eastAsia="仿宋_GB2312" w:cs="仿宋_GB2312"/>
          <w:color w:val="000000"/>
          <w:sz w:val="32"/>
          <w:szCs w:val="32"/>
        </w:rPr>
        <w:t>途中补助：包含伙食补贴（误餐补贴）、市内路段公共交通费（不含城市间交通费）等，按照280元/次标准包干制补助；</w:t>
      </w:r>
    </w:p>
    <w:p>
      <w:pPr>
        <w:spacing w:line="560" w:lineRule="exact"/>
        <w:ind w:firstLine="640" w:firstLineChars="200"/>
        <w:rPr>
          <w:rFonts w:ascii="仿宋_GB2312" w:hAnsi="仿宋_GB2312" w:eastAsia="仿宋_GB2312" w:cs="仿宋_GB2312"/>
          <w:color w:val="000000"/>
          <w:sz w:val="32"/>
          <w:szCs w:val="32"/>
        </w:rPr>
      </w:pPr>
      <w:r>
        <w:rPr>
          <w:rFonts w:hint="eastAsia" w:ascii="Malgun Gothic" w:hAnsi="Malgun Gothic" w:eastAsia="Malgun Gothic" w:cs="Calibri"/>
          <w:color w:val="000000"/>
          <w:sz w:val="32"/>
          <w:szCs w:val="32"/>
        </w:rPr>
        <w:t>②</w:t>
      </w:r>
      <w:r>
        <w:rPr>
          <w:rFonts w:hint="eastAsia" w:ascii="仿宋_GB2312" w:hAnsi="仿宋_GB2312" w:eastAsia="仿宋_GB2312" w:cs="仿宋_GB2312"/>
          <w:color w:val="000000"/>
          <w:sz w:val="32"/>
          <w:szCs w:val="32"/>
        </w:rPr>
        <w:t>交通补助：指城市间交通费（包括长途汽车、火车硬座、高铁/动车/城轨二等座、飞机经济舱等）。可凭当次有效交通报销凭证实报实销，其中返程交通参照来程实际发生同等额度费用支付（需要票据的，专家应在回程后7日内将票据邮寄至招标人或代理机构）。</w:t>
      </w:r>
    </w:p>
    <w:p>
      <w:pPr>
        <w:spacing w:line="560" w:lineRule="exact"/>
        <w:ind w:firstLine="640" w:firstLineChars="200"/>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2.误工补偿：</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（1）对于到达评标评审地点的专家，非因专家自身原因不能开展评标评审工作的（如按规定须回避或评标评审因故取消、改期的），提供误工补偿200元。属于异地评标评审情况的，应当提供在途补助；</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（2）到达评审地点，发现与本项目存在应当回避关系情形的或本人专业不符合评标评审要求的，经专家库组建人确认后方可离开。</w:t>
      </w:r>
    </w:p>
    <w:p>
      <w:pPr>
        <w:widowControl/>
        <w:spacing w:line="560" w:lineRule="exact"/>
        <w:ind w:firstLine="643" w:firstLineChars="200"/>
        <w:jc w:val="both"/>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七</w:t>
      </w:r>
      <w:r>
        <w:rPr>
          <w:rFonts w:hint="eastAsia" w:ascii="仿宋_GB2312" w:hAnsi="仿宋_GB2312" w:eastAsia="仿宋_GB2312" w:cs="仿宋_GB2312"/>
          <w:b/>
          <w:bCs/>
          <w:color w:val="000000"/>
          <w:sz w:val="32"/>
          <w:szCs w:val="32"/>
        </w:rPr>
        <w:t>条</w:t>
      </w:r>
      <w:r>
        <w:rPr>
          <w:rFonts w:hint="eastAsia" w:ascii="仿宋" w:hAnsi="仿宋" w:eastAsia="仿宋" w:cs="仿宋"/>
          <w:sz w:val="30"/>
          <w:szCs w:val="30"/>
          <w:lang w:bidi="ar"/>
        </w:rPr>
        <w:t xml:space="preserve"> </w:t>
      </w:r>
      <w:r>
        <w:rPr>
          <w:rFonts w:hint="eastAsia" w:ascii="仿宋_GB2312" w:hAnsi="仿宋_GB2312" w:eastAsia="仿宋_GB2312" w:cs="仿宋_GB2312"/>
          <w:color w:val="000000"/>
          <w:sz w:val="32"/>
          <w:szCs w:val="32"/>
        </w:rPr>
        <w:t>专家评标评审期间应适当安排休息，以保证评标评审质量。评审结束时间超过当天12:00或18:00时，评审组织机构应当为专家统一安排午餐或晚餐，并承担相关费用，</w:t>
      </w:r>
      <w:r>
        <w:rPr>
          <w:rFonts w:ascii="仿宋" w:hAnsi="仿宋" w:eastAsia="仿宋" w:cs="仿宋"/>
          <w:color w:val="000000"/>
          <w:kern w:val="0"/>
          <w:sz w:val="31"/>
          <w:szCs w:val="31"/>
          <w:lang w:bidi="ar"/>
        </w:rPr>
        <w:t xml:space="preserve">餐费标准如下： </w:t>
      </w:r>
    </w:p>
    <w:p>
      <w:pPr>
        <w:spacing w:line="560" w:lineRule="exact"/>
        <w:ind w:firstLine="420" w:firstLineChars="200"/>
        <w:rPr>
          <w:rFonts w:ascii="仿宋_GB2312" w:hAnsi="仿宋_GB2312" w:eastAsia="仿宋_GB2312" w:cs="仿宋_GB2312"/>
          <w:color w:val="000000"/>
          <w:sz w:val="32"/>
          <w:szCs w:val="32"/>
        </w:rPr>
      </w:pPr>
      <w:r>
        <w:rPr>
          <w:rFonts w:hint="eastAsia"/>
        </w:rPr>
        <w:t xml:space="preserve">  </w:t>
      </w:r>
      <w:r>
        <w:rPr>
          <w:rFonts w:hint="eastAsia" w:ascii="仿宋_GB2312" w:hAnsi="仿宋_GB2312" w:eastAsia="仿宋_GB2312" w:cs="仿宋_GB2312"/>
          <w:color w:val="000000"/>
          <w:sz w:val="32"/>
          <w:szCs w:val="32"/>
        </w:rPr>
        <w:t>（一）地铁大厦评标：25元/人/餐；</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（二）外出评标：80元/人/餐。</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评审结束时间超过22:00时，评审组织机构应当为专家安排住宿，并承担相关费用</w:t>
      </w:r>
      <w:r>
        <w:rPr>
          <w:rFonts w:hint="eastAsia" w:ascii="仿宋_GB2312" w:hAnsi="仿宋_GB2312" w:eastAsia="仿宋_GB2312" w:cs="仿宋_GB2312"/>
          <w:sz w:val="32"/>
          <w:szCs w:val="32"/>
        </w:rPr>
        <w:t>，差旅费住宿标准不超过500元/人/晚。</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十八</w:t>
      </w:r>
      <w:r>
        <w:rPr>
          <w:rFonts w:hint="eastAsia" w:ascii="仿宋_GB2312" w:hAnsi="仿宋_GB2312" w:eastAsia="仿宋_GB2312" w:cs="仿宋_GB2312"/>
          <w:b/>
          <w:bCs/>
          <w:color w:val="000000"/>
          <w:sz w:val="32"/>
          <w:szCs w:val="32"/>
        </w:rPr>
        <w:t>条</w:t>
      </w:r>
      <w:r>
        <w:rPr>
          <w:rFonts w:hint="eastAsia" w:ascii="仿宋" w:hAnsi="仿宋" w:eastAsia="仿宋" w:cs="仿宋"/>
          <w:sz w:val="30"/>
          <w:szCs w:val="30"/>
          <w:lang w:bidi="ar"/>
        </w:rPr>
        <w:t xml:space="preserve"> </w:t>
      </w:r>
      <w:r>
        <w:rPr>
          <w:rFonts w:hint="eastAsia" w:ascii="仿宋_GB2312" w:hAnsi="仿宋_GB2312" w:eastAsia="仿宋_GB2312" w:cs="仿宋_GB2312"/>
          <w:color w:val="000000"/>
          <w:sz w:val="32"/>
          <w:szCs w:val="32"/>
        </w:rPr>
        <w:t>专家评标评审费用计算发放标准为扣除个人所得税的税后费用，产生的个税由本公司承担；专家酬劳达到个人所得税扣税起征点的，应由发放单位依法代扣代缴个人所得税。</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十九</w:t>
      </w:r>
      <w:r>
        <w:rPr>
          <w:rFonts w:hint="eastAsia" w:ascii="仿宋_GB2312" w:hAnsi="仿宋_GB2312" w:eastAsia="仿宋_GB2312" w:cs="仿宋_GB2312"/>
          <w:b/>
          <w:bCs/>
          <w:color w:val="000000"/>
          <w:sz w:val="32"/>
          <w:szCs w:val="32"/>
        </w:rPr>
        <w:t>条</w:t>
      </w:r>
      <w:r>
        <w:rPr>
          <w:rFonts w:hint="eastAsia" w:ascii="仿宋" w:hAnsi="仿宋" w:eastAsia="仿宋" w:cs="仿宋"/>
          <w:sz w:val="30"/>
          <w:szCs w:val="30"/>
          <w:lang w:bidi="ar"/>
        </w:rPr>
        <w:t xml:space="preserve"> </w:t>
      </w:r>
      <w:r>
        <w:rPr>
          <w:rFonts w:hint="eastAsia" w:ascii="仿宋_GB2312" w:hAnsi="仿宋_GB2312" w:eastAsia="仿宋_GB2312" w:cs="仿宋_GB2312"/>
          <w:color w:val="000000"/>
          <w:sz w:val="32"/>
          <w:szCs w:val="32"/>
        </w:rPr>
        <w:t>对于专家未在规定时间参加评审的，迟到30分钟以上（含30分钟，不可抗力因素除外），作为迟到行为记入专家档案。</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第二十条</w:t>
      </w:r>
      <w:r>
        <w:rPr>
          <w:rFonts w:hint="eastAsia" w:ascii="仿宋" w:hAnsi="仿宋" w:eastAsia="仿宋" w:cs="仿宋"/>
          <w:sz w:val="30"/>
          <w:szCs w:val="30"/>
          <w:lang w:bidi="ar"/>
        </w:rPr>
        <w:t xml:space="preserve"> </w:t>
      </w:r>
      <w:r>
        <w:rPr>
          <w:rFonts w:hint="eastAsia" w:ascii="仿宋_GB2312" w:hAnsi="仿宋_GB2312" w:eastAsia="仿宋_GB2312" w:cs="仿宋_GB2312"/>
          <w:color w:val="000000"/>
          <w:sz w:val="32"/>
          <w:szCs w:val="32"/>
        </w:rPr>
        <w:t>专家未能完成评审工作而擅离评审现场的，不予发放酬劳。对于专家故意拖延评标评审时间以获取更多评标评审费的行为，评审组织机构有权予以制止。</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条</w:t>
      </w:r>
      <w:r>
        <w:rPr>
          <w:rFonts w:hint="eastAsia" w:ascii="仿宋" w:hAnsi="仿宋" w:eastAsia="仿宋" w:cs="仿宋"/>
          <w:sz w:val="30"/>
          <w:szCs w:val="30"/>
          <w:lang w:bidi="ar"/>
        </w:rPr>
        <w:t xml:space="preserve"> </w:t>
      </w:r>
      <w:r>
        <w:rPr>
          <w:rFonts w:hint="eastAsia" w:ascii="仿宋_GB2312" w:hAnsi="仿宋_GB2312" w:eastAsia="仿宋_GB2312" w:cs="仿宋_GB2312"/>
          <w:color w:val="000000"/>
          <w:sz w:val="32"/>
          <w:szCs w:val="32"/>
        </w:rPr>
        <w:t>评标评审专家不得以任何理由向评审组织机构索要额外报酬。</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条</w:t>
      </w:r>
      <w:r>
        <w:rPr>
          <w:rFonts w:hint="eastAsia" w:ascii="仿宋" w:hAnsi="仿宋" w:eastAsia="仿宋" w:cs="仿宋"/>
          <w:sz w:val="30"/>
          <w:szCs w:val="30"/>
          <w:lang w:bidi="ar"/>
        </w:rPr>
        <w:t xml:space="preserve"> </w:t>
      </w:r>
      <w:r>
        <w:rPr>
          <w:rFonts w:hint="eastAsia" w:ascii="仿宋_GB2312" w:hAnsi="仿宋_GB2312" w:eastAsia="仿宋_GB2312" w:cs="仿宋_GB2312"/>
          <w:color w:val="000000"/>
          <w:sz w:val="32"/>
          <w:szCs w:val="32"/>
        </w:rPr>
        <w:t>评标评审专家酬劳由采购人或其委托的评审组织机构支付。</w:t>
      </w:r>
    </w:p>
    <w:p>
      <w:pPr>
        <w:spacing w:line="560" w:lineRule="exact"/>
        <w:ind w:firstLine="640" w:firstLineChars="200"/>
        <w:rPr>
          <w:rFonts w:hint="eastAsia" w:ascii="仿宋_GB2312" w:hAnsi="仿宋_GB2312" w:eastAsia="仿宋_GB2312" w:cs="仿宋_GB2312"/>
          <w:color w:val="000000"/>
          <w:sz w:val="32"/>
          <w:szCs w:val="32"/>
        </w:rPr>
      </w:pPr>
    </w:p>
    <w:p>
      <w:pPr>
        <w:jc w:val="center"/>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第六章 评标专家库的使用与管理</w:t>
      </w:r>
    </w:p>
    <w:p>
      <w:pPr>
        <w:spacing w:line="560" w:lineRule="exact"/>
        <w:ind w:firstLine="640" w:firstLineChars="200"/>
        <w:jc w:val="center"/>
        <w:rPr>
          <w:rFonts w:ascii="仿宋_GB2312" w:hAnsi="仿宋_GB2312" w:eastAsia="仿宋_GB2312" w:cs="仿宋_GB2312"/>
          <w:b w:val="0"/>
          <w:color w:val="000000"/>
          <w:sz w:val="32"/>
          <w:szCs w:val="32"/>
        </w:rPr>
      </w:pP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除国家和上级政府主管部门另有规定外，专家库可用于以下项目：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（一）深圳市地铁集团有限公司及各下属子公司各项目；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（二）外部单位委托我司进行招标代理服务的项目；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（三）提供常规项目技术咨询服务。</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使用专家库时，由项目主办单位人员填写《专家抽取登记表》（附件2），按照主办单位批准的评标委员会组建规则、专业及数量，采用随机方式进行抽取，抽取完毕填写《评标委员会成员抽取结果确认表》（附件3）记录备案，任何单位和个人都不得干预评标专家的抽取工作。</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条</w:t>
      </w:r>
      <w:r>
        <w:rPr>
          <w:rFonts w:hint="eastAsia" w:ascii="仿宋" w:hAnsi="仿宋" w:eastAsia="仿宋"/>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sz w:val="32"/>
          <w:szCs w:val="32"/>
        </w:rPr>
        <w:t>遇到行业和专业特殊，专家库不能满足评标评审需求时，招标项目负责人可按有关规定和评标专家的标准要求，从其他渠道推荐评标专家人选。</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条</w:t>
      </w:r>
      <w:r>
        <w:rPr>
          <w:rFonts w:hint="eastAsia" w:ascii="仿宋" w:hAnsi="仿宋" w:eastAsia="仿宋"/>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sz w:val="32"/>
          <w:szCs w:val="32"/>
        </w:rPr>
        <w:t>参加专家抽取的有关人员对被抽取专家的姓名、单位、联系方式等内容负有保密义务。</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七</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根据实际工作需要，公司适时组织对入选专家库的专家进行有关招投标法律、法规、职业道德及评标技能方式的业务培训，并将培训成绩列入专家考核内容。</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十</w:t>
      </w:r>
      <w:r>
        <w:rPr>
          <w:rFonts w:hint="eastAsia" w:ascii="仿宋_GB2312" w:hAnsi="仿宋_GB2312" w:eastAsia="仿宋_GB2312" w:cs="仿宋_GB2312"/>
          <w:b/>
          <w:bCs/>
          <w:color w:val="000000"/>
          <w:sz w:val="32"/>
          <w:szCs w:val="32"/>
          <w:lang w:val="en-US" w:eastAsia="zh-CN"/>
        </w:rPr>
        <w:t>八</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专家库专业划分明细详见附件4。</w:t>
      </w:r>
    </w:p>
    <w:p>
      <w:pPr>
        <w:spacing w:line="560" w:lineRule="exact"/>
        <w:ind w:firstLine="640" w:firstLineChars="200"/>
        <w:rPr>
          <w:rFonts w:hint="eastAsia" w:ascii="仿宋_GB2312" w:hAnsi="仿宋_GB2312" w:eastAsia="仿宋_GB2312" w:cs="仿宋_GB2312"/>
          <w:color w:val="000000"/>
          <w:sz w:val="32"/>
          <w:szCs w:val="32"/>
        </w:rPr>
      </w:pPr>
    </w:p>
    <w:p>
      <w:pPr>
        <w:jc w:val="center"/>
        <w:rPr>
          <w:rFonts w:asciiTheme="minorEastAsia" w:hAnsiTheme="minorEastAsia" w:cstheme="minorEastAsia"/>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第七章 附则</w:t>
      </w:r>
    </w:p>
    <w:p>
      <w:pPr>
        <w:spacing w:line="560" w:lineRule="exact"/>
        <w:ind w:firstLine="640" w:firstLineChars="200"/>
        <w:rPr>
          <w:rFonts w:ascii="仿宋_GB2312" w:hAnsi="仿宋_GB2312" w:eastAsia="仿宋_GB2312" w:cs="仿宋_GB2312"/>
          <w:b w:val="0"/>
          <w:color w:val="000000"/>
          <w:sz w:val="32"/>
          <w:szCs w:val="32"/>
        </w:rPr>
      </w:pP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二十九</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本办法由深圳建材成本合约部负责解释。</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第三十条</w:t>
      </w:r>
      <w:r>
        <w:rPr>
          <w:rFonts w:hint="eastAsia" w:ascii="仿宋" w:hAnsi="仿宋" w:eastAsia="仿宋"/>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sz w:val="32"/>
          <w:szCs w:val="32"/>
        </w:rPr>
        <w:t>本办法自发布之日起试行，根据试行情况予以修订。</w:t>
      </w:r>
    </w:p>
    <w:p>
      <w:pPr>
        <w:tabs>
          <w:tab w:val="left" w:pos="630"/>
          <w:tab w:val="left" w:pos="840"/>
        </w:tabs>
        <w:spacing w:line="560" w:lineRule="exact"/>
        <w:ind w:right="1200"/>
        <w:rPr>
          <w:rFonts w:ascii="仿宋" w:hAnsi="仿宋" w:eastAsia="仿宋"/>
          <w:color w:val="000000" w:themeColor="text1"/>
          <w:sz w:val="30"/>
          <w:szCs w:val="30"/>
          <w14:textFill>
            <w14:solidFill>
              <w14:schemeClr w14:val="tx1"/>
            </w14:solidFill>
          </w14:textFill>
        </w:rPr>
      </w:pPr>
    </w:p>
    <w:p>
      <w:pPr>
        <w:tabs>
          <w:tab w:val="left" w:pos="630"/>
          <w:tab w:val="left" w:pos="840"/>
        </w:tabs>
        <w:spacing w:line="560" w:lineRule="exact"/>
        <w:ind w:right="1200"/>
        <w:rPr>
          <w:rFonts w:hint="eastAsia" w:ascii="仿宋" w:hAnsi="仿宋" w:eastAsia="仿宋"/>
          <w:color w:val="000000" w:themeColor="text1"/>
          <w:sz w:val="30"/>
          <w:szCs w:val="30"/>
          <w14:textFill>
            <w14:solidFill>
              <w14:schemeClr w14:val="tx1"/>
            </w14:solidFill>
          </w14:textFill>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附件：1.评标专家工作评价表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2.专家抽取登记表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3.评标委员会成员抽取结果确认表</w:t>
      </w:r>
    </w:p>
    <w:p>
      <w:pPr>
        <w:spacing w:line="56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4.专家库专业划分明细表</w:t>
      </w:r>
    </w:p>
    <w:p>
      <w:pPr>
        <w:rPr>
          <w:rFonts w:ascii="仿宋_GB2312" w:hAnsi="仿宋_GB2312" w:eastAsia="仿宋_GB2312" w:cs="仿宋_GB2312"/>
          <w:color w:val="000000"/>
          <w:sz w:val="32"/>
          <w:szCs w:val="32"/>
        </w:rPr>
      </w:pPr>
    </w:p>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p>
    <w:p>
      <w:pPr>
        <w:spacing w:line="400" w:lineRule="exact"/>
        <w:ind w:right="-94"/>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附件1</w:t>
      </w:r>
    </w:p>
    <w:p>
      <w:pPr>
        <w:spacing w:line="400" w:lineRule="exact"/>
        <w:ind w:right="-94"/>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sz w:val="32"/>
          <w:szCs w:val="32"/>
          <w:lang w:bidi="ar"/>
        </w:rPr>
        <w:t>评标专家工作评价表</w:t>
      </w:r>
    </w:p>
    <w:p>
      <w:pPr>
        <w:spacing w:line="400" w:lineRule="exact"/>
        <w:ind w:right="-94"/>
        <w:jc w:val="righ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Q/SZJC ZCHY-0007-01-B1</w:t>
      </w:r>
    </w:p>
    <w:p>
      <w:pPr>
        <w:spacing w:line="400" w:lineRule="exact"/>
        <w:rPr>
          <w:rFonts w:ascii="宋体" w:hAnsi="宋体" w:eastAsia="宋体" w:cs="宋体"/>
          <w:sz w:val="24"/>
          <w:szCs w:val="24"/>
        </w:rPr>
      </w:pPr>
      <w:r>
        <w:rPr>
          <w:rFonts w:hint="eastAsia" w:ascii="宋体" w:hAnsi="宋体" w:eastAsia="宋体" w:cs="宋体"/>
          <w:sz w:val="24"/>
          <w:szCs w:val="24"/>
          <w:lang w:bidi="ar"/>
        </w:rPr>
        <w:t>项目名称：</w:t>
      </w:r>
      <w:r>
        <w:rPr>
          <w:rFonts w:hint="eastAsia" w:ascii="宋体" w:hAnsi="宋体" w:eastAsia="宋体" w:cs="宋体"/>
          <w:sz w:val="24"/>
          <w:szCs w:val="24"/>
          <w:u w:val="single"/>
          <w:lang w:bidi="ar"/>
        </w:rPr>
        <w:t xml:space="preserve">                                               </w:t>
      </w:r>
    </w:p>
    <w:p>
      <w:pPr>
        <w:spacing w:line="400" w:lineRule="exact"/>
        <w:rPr>
          <w:rFonts w:ascii="宋体" w:hAnsi="宋体" w:eastAsia="宋体" w:cs="宋体"/>
          <w:sz w:val="24"/>
          <w:szCs w:val="24"/>
          <w:u w:val="single"/>
        </w:rPr>
      </w:pPr>
      <w:r>
        <w:rPr>
          <w:rFonts w:hint="eastAsia" w:ascii="宋体" w:hAnsi="宋体" w:eastAsia="宋体" w:cs="宋体"/>
          <w:sz w:val="24"/>
          <w:szCs w:val="24"/>
          <w:lang w:bidi="ar"/>
        </w:rPr>
        <w:t>专家姓名：</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身份证号：</w:t>
      </w:r>
      <w:r>
        <w:rPr>
          <w:rFonts w:hint="eastAsia" w:ascii="宋体" w:hAnsi="宋体" w:eastAsia="宋体" w:cs="宋体"/>
          <w:sz w:val="24"/>
          <w:szCs w:val="24"/>
          <w:u w:val="single"/>
          <w:lang w:bidi="ar"/>
        </w:rPr>
        <w:t xml:space="preserve">                      </w:t>
      </w:r>
    </w:p>
    <w:tbl>
      <w:tblPr>
        <w:tblStyle w:val="8"/>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4961"/>
        <w:gridCol w:w="567"/>
        <w:gridCol w:w="567"/>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lang w:bidi="ar"/>
              </w:rPr>
              <w:t>类别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lang w:bidi="ar"/>
              </w:rPr>
              <w:t>序号</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lang w:bidi="ar"/>
              </w:rPr>
              <w:t>评价内容</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lang w:bidi="ar"/>
              </w:rPr>
              <w:t>有</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lang w:bidi="ar"/>
              </w:rPr>
              <w:t>无</w:t>
            </w:r>
          </w:p>
        </w:tc>
        <w:tc>
          <w:tcPr>
            <w:tcW w:w="834"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jc w:val="center"/>
              <w:rPr>
                <w:rFonts w:ascii="宋体" w:hAnsi="宋体" w:eastAsia="宋体" w:cs="宋体"/>
                <w:b/>
                <w:sz w:val="24"/>
                <w:szCs w:val="24"/>
                <w:lang w:bidi="ar"/>
              </w:rPr>
            </w:pPr>
            <w:r>
              <w:rPr>
                <w:rFonts w:hint="eastAsia" w:ascii="宋体" w:hAnsi="宋体" w:eastAsia="宋体" w:cs="宋体"/>
                <w:b/>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工作态度</w:t>
            </w:r>
          </w:p>
          <w:p>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出席评标活动，未按要求提交身份证明</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未按要求存放或擅自使用通讯工具</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评标现场不遵守工作纪律、影响正常评标程序</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参加评标活动迟到或早退</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无正当理由不参加评标的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专业水平</w:t>
            </w:r>
          </w:p>
          <w:p>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未按招标文件规定的评标标准、方法进行评审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评标打分被判定为异常</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不独立进行评标的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不按规定程序擅自评议标书内容或发表个人意见的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评标结论被二次复议，并证明其有明显失误的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评标质量</w:t>
            </w:r>
          </w:p>
          <w:p>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在评标过程中，以任何明示或者暗示的方式诱导投标人表达与其投标文件愿意不同意见的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以明示或者暗示的方式发表倾向性或诱导意见，授意其他评委成员给特定单位打分的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发现投标文件中存在造假等违规行为，不及时向现场监督人员提出的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未发现投标文件中的重大偏差或发现后未作废标处理的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lang w:bidi="ar"/>
              </w:rPr>
              <w:t>因评标专家个人失误给评标结果造成实质性影响的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存在上述情况以外的其他情形</w:t>
            </w:r>
          </w:p>
        </w:tc>
        <w:tc>
          <w:tcPr>
            <w:tcW w:w="69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ascii="宋体" w:hAnsi="宋体" w:eastAsia="宋体" w:cs="宋体"/>
                <w:sz w:val="24"/>
                <w:szCs w:val="24"/>
                <w:lang w:bidi="ar"/>
              </w:rPr>
              <w:t>请详述：</w:t>
            </w:r>
          </w:p>
          <w:p>
            <w:pPr>
              <w:jc w:val="center"/>
              <w:rPr>
                <w:rFonts w:ascii="宋体" w:hAnsi="宋体" w:eastAsia="宋体" w:cs="宋体"/>
                <w:sz w:val="24"/>
                <w:szCs w:val="24"/>
              </w:rPr>
            </w:pPr>
          </w:p>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lang w:bidi="ar"/>
              </w:rPr>
              <w:t>综合评价</w:t>
            </w:r>
          </w:p>
          <w:p>
            <w:pPr>
              <w:jc w:val="center"/>
              <w:rPr>
                <w:rFonts w:ascii="宋体" w:hAnsi="宋体" w:eastAsia="宋体" w:cs="宋体"/>
                <w:sz w:val="24"/>
                <w:szCs w:val="24"/>
              </w:rPr>
            </w:pPr>
            <w:r>
              <w:rPr>
                <w:rFonts w:hint="eastAsia" w:ascii="宋体" w:hAnsi="宋体" w:eastAsia="宋体" w:cs="宋体"/>
                <w:b/>
                <w:sz w:val="24"/>
                <w:szCs w:val="24"/>
                <w:lang w:bidi="ar"/>
              </w:rPr>
              <w:t>结果</w:t>
            </w:r>
          </w:p>
        </w:tc>
        <w:tc>
          <w:tcPr>
            <w:tcW w:w="69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sz w:val="24"/>
                <w:szCs w:val="24"/>
              </w:rPr>
            </w:pPr>
            <w:r>
              <w:rPr>
                <w:rFonts w:ascii="Wingdings 2" w:hAnsi="Wingdings 2" w:eastAsia="Wingdings 2" w:cs="Wingdings 2"/>
                <w:b/>
                <w:color w:val="000000"/>
                <w:sz w:val="24"/>
                <w:szCs w:val="24"/>
                <w:lang w:bidi="ar"/>
              </w:rPr>
              <w:t>£</w:t>
            </w:r>
            <w:r>
              <w:rPr>
                <w:rFonts w:hint="eastAsia" w:ascii="Calibri" w:hAnsi="Calibri" w:eastAsia="宋体" w:cs="宋体"/>
                <w:b/>
                <w:lang w:bidi="ar"/>
              </w:rPr>
              <w:t>优秀</w:t>
            </w:r>
            <w:r>
              <w:rPr>
                <w:rFonts w:ascii="Calibri" w:hAnsi="Calibri" w:eastAsia="宋体" w:cs="Times New Roman"/>
                <w:b/>
                <w:lang w:bidi="ar"/>
              </w:rPr>
              <w:t xml:space="preserve">    </w:t>
            </w:r>
            <w:r>
              <w:rPr>
                <w:rFonts w:ascii="Wingdings 2" w:hAnsi="Wingdings 2" w:eastAsia="Wingdings 2" w:cs="Wingdings 2"/>
                <w:b/>
                <w:color w:val="000000"/>
                <w:sz w:val="24"/>
                <w:szCs w:val="24"/>
                <w:lang w:bidi="ar"/>
              </w:rPr>
              <w:t>£</w:t>
            </w:r>
            <w:r>
              <w:rPr>
                <w:rFonts w:hint="eastAsia" w:ascii="Calibri" w:hAnsi="Calibri" w:eastAsia="宋体" w:cs="宋体"/>
                <w:b/>
                <w:lang w:bidi="ar"/>
              </w:rPr>
              <w:t>良好</w:t>
            </w:r>
            <w:r>
              <w:rPr>
                <w:rFonts w:ascii="Calibri" w:hAnsi="Calibri" w:eastAsia="宋体" w:cs="Times New Roman"/>
                <w:b/>
                <w:lang w:bidi="ar"/>
              </w:rPr>
              <w:t xml:space="preserve">     </w:t>
            </w:r>
            <w:r>
              <w:rPr>
                <w:rFonts w:ascii="Wingdings 2" w:hAnsi="Wingdings 2" w:eastAsia="Wingdings 2" w:cs="Wingdings 2"/>
                <w:b/>
                <w:color w:val="000000"/>
                <w:sz w:val="24"/>
                <w:szCs w:val="24"/>
                <w:lang w:bidi="ar"/>
              </w:rPr>
              <w:t>£</w:t>
            </w:r>
            <w:r>
              <w:rPr>
                <w:rFonts w:hint="eastAsia" w:ascii="Calibri" w:hAnsi="Calibri" w:eastAsia="宋体" w:cs="宋体"/>
                <w:b/>
                <w:lang w:bidi="ar"/>
              </w:rPr>
              <w:t>合格</w:t>
            </w:r>
            <w:r>
              <w:rPr>
                <w:rFonts w:ascii="Calibri" w:hAnsi="Calibri" w:eastAsia="宋体" w:cs="Times New Roman"/>
                <w:b/>
                <w:lang w:bidi="ar"/>
              </w:rPr>
              <w:t xml:space="preserve">     </w:t>
            </w:r>
            <w:r>
              <w:rPr>
                <w:rFonts w:ascii="Wingdings 2" w:hAnsi="Wingdings 2" w:eastAsia="Wingdings 2" w:cs="Wingdings 2"/>
                <w:b/>
                <w:color w:val="000000"/>
                <w:sz w:val="24"/>
                <w:szCs w:val="24"/>
                <w:lang w:bidi="ar"/>
              </w:rPr>
              <w:t>£</w:t>
            </w:r>
            <w:r>
              <w:rPr>
                <w:rFonts w:hint="eastAsia" w:ascii="Calibri" w:hAnsi="Calibri" w:eastAsia="宋体" w:cs="宋体"/>
                <w:b/>
                <w:lang w:bidi="ar"/>
              </w:rPr>
              <w:t>不合格</w:t>
            </w:r>
          </w:p>
        </w:tc>
      </w:tr>
    </w:tbl>
    <w:p>
      <w:pPr>
        <w:spacing w:line="480" w:lineRule="auto"/>
        <w:ind w:firstLine="720" w:firstLineChars="300"/>
        <w:jc w:val="left"/>
        <w:rPr>
          <w:sz w:val="24"/>
          <w:szCs w:val="24"/>
        </w:rPr>
      </w:pPr>
      <w:r>
        <w:rPr>
          <w:rFonts w:ascii="Calibri" w:hAnsi="Calibri" w:eastAsia="宋体" w:cs="Times New Roman"/>
          <w:sz w:val="24"/>
          <w:szCs w:val="24"/>
          <w:lang w:bidi="ar"/>
        </w:rPr>
        <w:t xml:space="preserve">                                 </w:t>
      </w:r>
      <w:r>
        <w:rPr>
          <w:rFonts w:hint="eastAsia" w:ascii="Calibri" w:hAnsi="Calibri" w:eastAsia="宋体" w:cs="宋体"/>
          <w:sz w:val="24"/>
          <w:szCs w:val="24"/>
          <w:lang w:bidi="ar"/>
        </w:rPr>
        <w:t>项目经办人（签字）：</w:t>
      </w:r>
    </w:p>
    <w:p>
      <w:pPr>
        <w:spacing w:line="480" w:lineRule="auto"/>
        <w:ind w:firstLine="4800" w:firstLineChars="2000"/>
        <w:rPr>
          <w:sz w:val="24"/>
          <w:szCs w:val="24"/>
        </w:rPr>
      </w:pPr>
      <w:r>
        <w:rPr>
          <w:rFonts w:hint="eastAsia" w:ascii="Calibri" w:hAnsi="Calibri" w:eastAsia="宋体" w:cs="宋体"/>
          <w:sz w:val="24"/>
          <w:szCs w:val="24"/>
          <w:lang w:bidi="ar"/>
        </w:rPr>
        <w:t>日期：</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年</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月</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日</w:t>
      </w:r>
    </w:p>
    <w:p>
      <w:pPr>
        <w:spacing w:line="240" w:lineRule="auto"/>
        <w:ind w:right="0"/>
        <w:rPr>
          <w:rFonts w:hint="eastAsia"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br w:type="page"/>
      </w:r>
    </w:p>
    <w:p>
      <w:pPr>
        <w:spacing w:line="360" w:lineRule="auto"/>
        <w:ind w:right="-94"/>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 xml:space="preserve">附件2 </w:t>
      </w:r>
    </w:p>
    <w:p>
      <w:pPr>
        <w:jc w:val="center"/>
        <w:rPr>
          <w:rFonts w:asciiTheme="minorEastAsia" w:hAnsiTheme="minorEastAsia" w:cstheme="minorEastAsia"/>
          <w:b/>
          <w:bCs/>
          <w:color w:val="000000" w:themeColor="text1"/>
          <w:sz w:val="32"/>
          <w:szCs w:val="32"/>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专家抽取登记表</w:t>
      </w:r>
    </w:p>
    <w:p>
      <w:pPr>
        <w:jc w:val="right"/>
        <w:rPr>
          <w:rFonts w:asciiTheme="minorEastAsia" w:hAnsiTheme="minorEastAsia" w:cstheme="minorEastAsia"/>
          <w:b/>
          <w:bCs/>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Q/SZJC ZCHY-0007-02-B1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877"/>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72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项目名称</w:t>
            </w:r>
          </w:p>
        </w:tc>
        <w:tc>
          <w:tcPr>
            <w:tcW w:w="7138" w:type="dxa"/>
            <w:gridSpan w:val="3"/>
            <w:vAlign w:val="center"/>
          </w:tcPr>
          <w:p>
            <w:pPr>
              <w:spacing w:line="720" w:lineRule="auto"/>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72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使用单位</w:t>
            </w:r>
          </w:p>
        </w:tc>
        <w:tc>
          <w:tcPr>
            <w:tcW w:w="7138" w:type="dxa"/>
            <w:gridSpan w:val="3"/>
            <w:vAlign w:val="center"/>
          </w:tcPr>
          <w:p>
            <w:pPr>
              <w:spacing w:line="720" w:lineRule="auto"/>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72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依据文件</w:t>
            </w:r>
          </w:p>
        </w:tc>
        <w:tc>
          <w:tcPr>
            <w:tcW w:w="7138" w:type="dxa"/>
            <w:gridSpan w:val="3"/>
            <w:vAlign w:val="center"/>
          </w:tcPr>
          <w:p>
            <w:pPr>
              <w:spacing w:line="720" w:lineRule="auto"/>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72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抽取日期</w:t>
            </w:r>
          </w:p>
        </w:tc>
        <w:tc>
          <w:tcPr>
            <w:tcW w:w="2877" w:type="dxa"/>
            <w:vAlign w:val="center"/>
          </w:tcPr>
          <w:p>
            <w:pPr>
              <w:spacing w:line="720" w:lineRule="auto"/>
              <w:jc w:val="center"/>
              <w:rPr>
                <w:color w:val="000000" w:themeColor="text1"/>
                <w:sz w:val="24"/>
                <w:szCs w:val="24"/>
                <w14:textFill>
                  <w14:solidFill>
                    <w14:schemeClr w14:val="tx1"/>
                  </w14:solidFill>
                </w14:textFill>
              </w:rPr>
            </w:pPr>
          </w:p>
        </w:tc>
        <w:tc>
          <w:tcPr>
            <w:tcW w:w="2130" w:type="dxa"/>
            <w:vAlign w:val="center"/>
          </w:tcPr>
          <w:p>
            <w:pPr>
              <w:spacing w:line="72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抽取地点</w:t>
            </w:r>
          </w:p>
        </w:tc>
        <w:tc>
          <w:tcPr>
            <w:tcW w:w="2131" w:type="dxa"/>
            <w:vAlign w:val="center"/>
          </w:tcPr>
          <w:p>
            <w:pPr>
              <w:spacing w:line="720" w:lineRule="auto"/>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line="72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抽取人（签字）：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line="72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监督人（签字）：</w:t>
            </w:r>
          </w:p>
        </w:tc>
      </w:tr>
    </w:tbl>
    <w:p>
      <w:pPr>
        <w:spacing w:line="360" w:lineRule="auto"/>
        <w:ind w:right="1200"/>
        <w:rPr>
          <w:rFonts w:ascii="仿宋" w:hAnsi="仿宋" w:eastAsia="仿宋"/>
          <w:color w:val="000000" w:themeColor="text1"/>
          <w:sz w:val="30"/>
          <w:szCs w:val="30"/>
          <w14:textFill>
            <w14:solidFill>
              <w14:schemeClr w14:val="tx1"/>
            </w14:solidFill>
          </w14:textFill>
        </w:rPr>
      </w:pPr>
    </w:p>
    <w:p>
      <w:pPr>
        <w:spacing w:line="360" w:lineRule="auto"/>
        <w:ind w:right="1200"/>
        <w:rPr>
          <w:rFonts w:ascii="仿宋" w:hAnsi="仿宋" w:eastAsia="仿宋"/>
          <w:color w:val="000000" w:themeColor="text1"/>
          <w:sz w:val="30"/>
          <w:szCs w:val="30"/>
          <w14:textFill>
            <w14:solidFill>
              <w14:schemeClr w14:val="tx1"/>
            </w14:solidFill>
          </w14:textFill>
        </w:rPr>
      </w:pPr>
    </w:p>
    <w:p>
      <w:pPr>
        <w:spacing w:line="360" w:lineRule="auto"/>
        <w:ind w:right="1200"/>
        <w:rPr>
          <w:rFonts w:ascii="仿宋" w:hAnsi="仿宋" w:eastAsia="仿宋"/>
          <w:color w:val="000000" w:themeColor="text1"/>
          <w:sz w:val="30"/>
          <w:szCs w:val="30"/>
          <w14:textFill>
            <w14:solidFill>
              <w14:schemeClr w14:val="tx1"/>
            </w14:solidFill>
          </w14:textFill>
        </w:rPr>
      </w:pPr>
    </w:p>
    <w:p>
      <w:pPr>
        <w:spacing w:line="360" w:lineRule="auto"/>
        <w:ind w:right="1200"/>
        <w:rPr>
          <w:rFonts w:ascii="仿宋" w:hAnsi="仿宋" w:eastAsia="仿宋"/>
          <w:color w:val="000000" w:themeColor="text1"/>
          <w:sz w:val="30"/>
          <w:szCs w:val="30"/>
          <w14:textFill>
            <w14:solidFill>
              <w14:schemeClr w14:val="tx1"/>
            </w14:solidFill>
          </w14:textFill>
        </w:rPr>
      </w:pPr>
    </w:p>
    <w:p>
      <w:pPr>
        <w:spacing w:line="360" w:lineRule="auto"/>
        <w:ind w:right="1200"/>
        <w:rPr>
          <w:rFonts w:ascii="仿宋" w:hAnsi="仿宋" w:eastAsia="仿宋"/>
          <w:color w:val="000000" w:themeColor="text1"/>
          <w:sz w:val="30"/>
          <w:szCs w:val="30"/>
          <w14:textFill>
            <w14:solidFill>
              <w14:schemeClr w14:val="tx1"/>
            </w14:solidFill>
          </w14:textFill>
        </w:rPr>
      </w:pPr>
    </w:p>
    <w:p>
      <w:pPr>
        <w:spacing w:line="360" w:lineRule="auto"/>
        <w:ind w:right="1200"/>
        <w:rPr>
          <w:rFonts w:ascii="仿宋" w:hAnsi="仿宋" w:eastAsia="仿宋"/>
          <w:color w:val="000000" w:themeColor="text1"/>
          <w:sz w:val="30"/>
          <w:szCs w:val="30"/>
          <w14:textFill>
            <w14:solidFill>
              <w14:schemeClr w14:val="tx1"/>
            </w14:solidFill>
          </w14:textFill>
        </w:rPr>
      </w:pPr>
    </w:p>
    <w:p>
      <w:pPr>
        <w:spacing w:line="360" w:lineRule="auto"/>
        <w:ind w:right="1200"/>
        <w:rPr>
          <w:rFonts w:ascii="仿宋" w:hAnsi="仿宋" w:eastAsia="仿宋"/>
          <w:color w:val="000000" w:themeColor="text1"/>
          <w:sz w:val="30"/>
          <w:szCs w:val="30"/>
          <w14:textFill>
            <w14:solidFill>
              <w14:schemeClr w14:val="tx1"/>
            </w14:solidFill>
          </w14:textFill>
        </w:rPr>
      </w:pPr>
    </w:p>
    <w:p>
      <w:pPr>
        <w:spacing w:line="360" w:lineRule="auto"/>
        <w:ind w:right="1200"/>
        <w:rPr>
          <w:rFonts w:ascii="仿宋" w:hAnsi="仿宋" w:eastAsia="仿宋"/>
          <w:color w:val="000000" w:themeColor="text1"/>
          <w:sz w:val="30"/>
          <w:szCs w:val="30"/>
          <w14:textFill>
            <w14:solidFill>
              <w14:schemeClr w14:val="tx1"/>
            </w14:solidFill>
          </w14:textFill>
        </w:rPr>
      </w:pPr>
    </w:p>
    <w:p>
      <w:pPr>
        <w:spacing w:line="360" w:lineRule="auto"/>
        <w:ind w:right="1200"/>
        <w:rPr>
          <w:rFonts w:ascii="仿宋" w:hAnsi="仿宋" w:eastAsia="仿宋"/>
          <w:color w:val="000000" w:themeColor="text1"/>
          <w:sz w:val="30"/>
          <w:szCs w:val="30"/>
          <w14:textFill>
            <w14:solidFill>
              <w14:schemeClr w14:val="tx1"/>
            </w14:solidFill>
          </w14:textFill>
        </w:rPr>
      </w:pPr>
    </w:p>
    <w:p>
      <w:pPr>
        <w:spacing w:line="360" w:lineRule="auto"/>
        <w:ind w:right="1200"/>
        <w:rPr>
          <w:rFonts w:ascii="仿宋" w:hAnsi="仿宋" w:eastAsia="仿宋"/>
          <w:color w:val="000000" w:themeColor="text1"/>
          <w:sz w:val="30"/>
          <w:szCs w:val="30"/>
          <w14:textFill>
            <w14:solidFill>
              <w14:schemeClr w14:val="tx1"/>
            </w14:solidFill>
          </w14:textFill>
        </w:rPr>
      </w:pPr>
    </w:p>
    <w:p>
      <w:pPr>
        <w:spacing w:line="360" w:lineRule="auto"/>
        <w:ind w:right="-94"/>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附件3                         </w:t>
      </w:r>
    </w:p>
    <w:p>
      <w:pPr>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评标委员会成员抽取结果确认表</w:t>
      </w:r>
    </w:p>
    <w:p>
      <w:pPr>
        <w:jc w:val="right"/>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Q/SZJC ZCHY-0007-03-B1</w:t>
      </w:r>
    </w:p>
    <w:tbl>
      <w:tblPr>
        <w:tblStyle w:val="8"/>
        <w:tblW w:w="0" w:type="auto"/>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534"/>
        <w:gridCol w:w="1632"/>
        <w:gridCol w:w="1770"/>
        <w:gridCol w:w="1514"/>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spacing w:line="48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459" w:type="dxa"/>
            <w:gridSpan w:val="5"/>
            <w:vAlign w:val="center"/>
          </w:tcPr>
          <w:p>
            <w:pPr>
              <w:spacing w:line="48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spacing w:line="48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招标编号</w:t>
            </w:r>
          </w:p>
        </w:tc>
        <w:tc>
          <w:tcPr>
            <w:tcW w:w="7459" w:type="dxa"/>
            <w:gridSpan w:val="5"/>
            <w:vAlign w:val="center"/>
          </w:tcPr>
          <w:p>
            <w:pPr>
              <w:spacing w:line="48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spacing w:line="48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抽取时间</w:t>
            </w:r>
          </w:p>
        </w:tc>
        <w:tc>
          <w:tcPr>
            <w:tcW w:w="7459" w:type="dxa"/>
            <w:gridSpan w:val="5"/>
            <w:vAlign w:val="center"/>
          </w:tcPr>
          <w:p>
            <w:pPr>
              <w:spacing w:line="48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spacing w:line="720" w:lineRule="auto"/>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1550" w:type="dxa"/>
            <w:vAlign w:val="center"/>
          </w:tcPr>
          <w:p>
            <w:pPr>
              <w:spacing w:line="720" w:lineRule="auto"/>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姓名</w:t>
            </w:r>
          </w:p>
        </w:tc>
        <w:tc>
          <w:tcPr>
            <w:tcW w:w="1650" w:type="dxa"/>
            <w:vAlign w:val="center"/>
          </w:tcPr>
          <w:p>
            <w:pPr>
              <w:spacing w:line="720" w:lineRule="auto"/>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专业</w:t>
            </w:r>
          </w:p>
        </w:tc>
        <w:tc>
          <w:tcPr>
            <w:tcW w:w="1790" w:type="dxa"/>
            <w:vAlign w:val="center"/>
          </w:tcPr>
          <w:p>
            <w:pPr>
              <w:spacing w:line="720" w:lineRule="auto"/>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单位名称</w:t>
            </w:r>
          </w:p>
        </w:tc>
        <w:tc>
          <w:tcPr>
            <w:tcW w:w="1530" w:type="dxa"/>
            <w:vAlign w:val="center"/>
          </w:tcPr>
          <w:p>
            <w:pPr>
              <w:spacing w:line="720" w:lineRule="auto"/>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联系方式</w:t>
            </w:r>
          </w:p>
        </w:tc>
        <w:tc>
          <w:tcPr>
            <w:tcW w:w="939" w:type="dxa"/>
            <w:vAlign w:val="center"/>
          </w:tcPr>
          <w:p>
            <w:pPr>
              <w:spacing w:line="720" w:lineRule="auto"/>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5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6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79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53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939"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5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6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79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53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939"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5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6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79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53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939"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5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6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79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53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939"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5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6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79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53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939"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5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6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79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53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939"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5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65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79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1530"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c>
          <w:tcPr>
            <w:tcW w:w="939" w:type="dxa"/>
            <w:vAlign w:val="center"/>
          </w:tcPr>
          <w:p>
            <w:pPr>
              <w:spacing w:line="72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9" w:type="dxa"/>
            <w:gridSpan w:val="6"/>
            <w:vAlign w:val="center"/>
          </w:tcPr>
          <w:p>
            <w:pPr>
              <w:spacing w:line="72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抽取人：（签字）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9" w:type="dxa"/>
            <w:gridSpan w:val="6"/>
            <w:vAlign w:val="center"/>
          </w:tcPr>
          <w:p>
            <w:pPr>
              <w:spacing w:line="72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监督人：（签字）</w:t>
            </w:r>
          </w:p>
        </w:tc>
      </w:tr>
    </w:tbl>
    <w:p>
      <w:pPr>
        <w:spacing w:line="360" w:lineRule="auto"/>
        <w:ind w:right="1200"/>
        <w:rPr>
          <w:rFonts w:ascii="宋体" w:hAnsi="宋体" w:eastAsia="宋体" w:cs="宋体"/>
          <w:color w:val="000000" w:themeColor="text1"/>
          <w:sz w:val="24"/>
          <w:szCs w:val="24"/>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br w:type="page"/>
      </w:r>
    </w:p>
    <w:p>
      <w:pPr>
        <w:spacing w:line="360" w:lineRule="auto"/>
        <w:ind w:right="1200"/>
        <w:rPr>
          <w:rFonts w:ascii="仿宋" w:hAnsi="仿宋" w:eastAsia="仿宋"/>
          <w:color w:val="000000" w:themeColor="text1"/>
          <w:sz w:val="30"/>
          <w:szCs w:val="30"/>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line="360" w:lineRule="auto"/>
        <w:ind w:right="1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附件4</w:t>
      </w:r>
    </w:p>
    <w:p>
      <w:pPr>
        <w:spacing w:line="360" w:lineRule="auto"/>
        <w:ind w:right="1200"/>
        <w:jc w:val="center"/>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专家库专业划分明细表</w:t>
      </w:r>
    </w:p>
    <w:tbl>
      <w:tblPr>
        <w:tblStyle w:val="7"/>
        <w:tblpPr w:leftFromText="180" w:rightFromText="180" w:vertAnchor="text" w:horzAnchor="page" w:tblpX="1473" w:tblpY="270"/>
        <w:tblOverlap w:val="never"/>
        <w:tblW w:w="14185" w:type="dxa"/>
        <w:tblInd w:w="0" w:type="dxa"/>
        <w:tblLayout w:type="fixed"/>
        <w:tblCellMar>
          <w:top w:w="0" w:type="dxa"/>
          <w:left w:w="0" w:type="dxa"/>
          <w:bottom w:w="0" w:type="dxa"/>
          <w:right w:w="0" w:type="dxa"/>
        </w:tblCellMar>
      </w:tblPr>
      <w:tblGrid>
        <w:gridCol w:w="1172"/>
        <w:gridCol w:w="1755"/>
        <w:gridCol w:w="3908"/>
        <w:gridCol w:w="6435"/>
        <w:gridCol w:w="915"/>
      </w:tblGrid>
      <w:tr>
        <w:tblPrEx>
          <w:tblCellMar>
            <w:top w:w="0" w:type="dxa"/>
            <w:left w:w="0" w:type="dxa"/>
            <w:bottom w:w="0" w:type="dxa"/>
            <w:right w:w="0" w:type="dxa"/>
          </w:tblCellMar>
        </w:tblPrEx>
        <w:trPr>
          <w:trHeight w:val="42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bidi="ar"/>
                <w14:textFill>
                  <w14:solidFill>
                    <w14:schemeClr w14:val="tx1"/>
                  </w14:solidFill>
                </w14:textFill>
              </w:rPr>
              <w:t>项目类别</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bidi="ar"/>
                <w14:textFill>
                  <w14:solidFill>
                    <w14:schemeClr w14:val="tx1"/>
                  </w14:solidFill>
                </w14:textFill>
              </w:rPr>
              <w:t>专业一级类别</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bidi="ar"/>
                <w14:textFill>
                  <w14:solidFill>
                    <w14:schemeClr w14:val="tx1"/>
                  </w14:solidFill>
                </w14:textFill>
              </w:rPr>
              <w:t>专业二级类别</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bidi="ar"/>
                <w14:textFill>
                  <w14:solidFill>
                    <w14:schemeClr w14:val="tx1"/>
                  </w14:solidFill>
                </w14:textFill>
              </w:rPr>
              <w:t>专业三级类别</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备注</w:t>
            </w:r>
          </w:p>
        </w:tc>
      </w:tr>
      <w:tr>
        <w:tblPrEx>
          <w:tblCellMar>
            <w:top w:w="0" w:type="dxa"/>
            <w:left w:w="0" w:type="dxa"/>
            <w:bottom w:w="0" w:type="dxa"/>
            <w:right w:w="0" w:type="dxa"/>
          </w:tblCellMar>
        </w:tblPrEx>
        <w:trPr>
          <w:trHeight w:val="654"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kern w:val="0"/>
                <w:sz w:val="24"/>
                <w:szCs w:val="24"/>
                <w:lang w:bidi="ar"/>
                <w14:textFill>
                  <w14:solidFill>
                    <w14:schemeClr w14:val="tx1"/>
                  </w14:solidFill>
                </w14:textFill>
              </w:rPr>
            </w:pPr>
            <w:r>
              <w:rPr>
                <w:rFonts w:hint="eastAsia" w:ascii="宋体" w:hAnsi="宋体" w:eastAsia="宋体" w:cs="宋体"/>
                <w:b/>
                <w:color w:val="000000" w:themeColor="text1"/>
                <w:kern w:val="0"/>
                <w:sz w:val="24"/>
                <w:szCs w:val="24"/>
                <w:lang w:bidi="ar"/>
                <w14:textFill>
                  <w14:solidFill>
                    <w14:schemeClr w14:val="tx1"/>
                  </w14:solidFill>
                </w14:textFill>
              </w:rPr>
              <w:t>工程类</w:t>
            </w:r>
          </w:p>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bidi="ar"/>
                <w14:textFill>
                  <w14:solidFill>
                    <w14:schemeClr w14:val="tx1"/>
                  </w14:solidFill>
                </w14:textFill>
              </w:rPr>
              <w:t>（工程咨询）</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A02 投资策划与决策</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A0201 项目建议、 可行性研究、评估及后评价</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220"/>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A020103 城市轨道交通、A020102 铁路、A020115 建筑材料、A020132 市政公用工程、A020133 建筑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5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A03 勘察</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A0301 岩土工程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A030101 岩土工程勘察/工程地质勘察</w:t>
            </w:r>
          </w:p>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A030102 岩土工程设计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6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A0302 地质勘察</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A030202 地质环境保护</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4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A0303 测绘工程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A030302 工程测量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1456"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A04 设计</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A0401 建筑工程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房屋建筑工程（A040102 居住建筑、A040115 公共建筑、A040116 工业建筑）、A040104 给水排水、A040105 通风空调、A040106 电气、 通信及弱电、</w:t>
            </w:r>
          </w:p>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A040107 装饰、A040108 幕墙、A040111 钢结构、A040112 照明、A040114 消防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1411"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A0402 市政公用工程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A040202 市政道路、A040203 市政桥梁、</w:t>
            </w:r>
          </w:p>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A040204 市政道路照明、A040206 市政给水排水、A040208 城市燃气、A040210 电气、A040211 环保、A040212 园林、A040213 绿化、A040214 污水处理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A0404 铁路工程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1164"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A0405 城市轨道交通工程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A040501 车站、 区间、A040502 线路、 轨道、A040503 信号、A040504 通信与信息、A040505 机车车辆、A040506 通风、A040508 暖通空调、A040509 给水排水、A040510 桥梁、A040511 隧道</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8"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A0424 电子工程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A041004 电气、A041010 输变电</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41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A0425 通信工程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Style w:val="11"/>
                <w:rFonts w:hint="default"/>
                <w:color w:val="000000" w:themeColor="text1"/>
                <w:sz w:val="24"/>
                <w:szCs w:val="24"/>
                <w:lang w:bidi="ar"/>
                <w14:textFill>
                  <w14:solidFill>
                    <w14:schemeClr w14:val="tx1"/>
                  </w14:solidFill>
                </w14:textFill>
              </w:rPr>
              <w:t>A042501 有线工程、</w:t>
            </w:r>
            <w:r>
              <w:rPr>
                <w:rStyle w:val="12"/>
                <w:rFonts w:hint="default"/>
                <w:color w:val="000000" w:themeColor="text1"/>
                <w:sz w:val="24"/>
                <w:szCs w:val="24"/>
                <w:lang w:bidi="ar"/>
                <w14:textFill>
                  <w14:solidFill>
                    <w14:schemeClr w14:val="tx1"/>
                  </w14:solidFill>
                </w14:textFill>
              </w:rPr>
              <w:t>A042502 无线工程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1008"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A05 监理</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A0501 建筑工程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A050101 建筑、A050102 结构、A050103 给水排水、A050104 暖通空调、A050105 电气、A050106 机电设备安装、A050107 装饰、A050108 幕墙（通用专业）</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93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A0502 市政工程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A050201 土木工程、A050202 给水排水、A050203 供配电、 信号、A050204 机电设备、A050205 园林绿化、A050206 燃气、A050211 路灯（市政照明）、A050212 通风</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1283"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A0504 铁路工程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A050401 线路与轨道、A050402 电力工程、A050403 路基、A050404 桥梁、A050405 隧道、A050406 给水排水、A050407 信号、A050408 通信与信息、A050409 电气化、A050410 铺架、A050411 客运服务、A050412 站场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86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A0505 城市轨道交通</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A050501 土木工程、A050502 机电安装、A050503 系统设备、 集成、A050504 通风、A050505 通信与信息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A0510 电力工程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A051002 电力系统、A051005 输变电</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2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A0520 机电安装工程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机电安装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2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A0521 设备监造</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A052101 城市轨道交通</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693"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A06 工程造价</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A0601 土建工程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A060201 建筑、A060202 市政、A060103 铁路、A060204 城市轨道交通</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A0602 安装工程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A0602 安装工程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1972"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kern w:val="0"/>
                <w:sz w:val="24"/>
                <w:szCs w:val="24"/>
                <w:lang w:bidi="ar"/>
                <w14:textFill>
                  <w14:solidFill>
                    <w14:schemeClr w14:val="tx1"/>
                  </w14:solidFill>
                </w14:textFill>
              </w:rPr>
            </w:pPr>
            <w:r>
              <w:rPr>
                <w:rFonts w:hint="eastAsia" w:ascii="宋体" w:hAnsi="宋体" w:eastAsia="宋体" w:cs="宋体"/>
                <w:b/>
                <w:color w:val="000000" w:themeColor="text1"/>
                <w:kern w:val="0"/>
                <w:sz w:val="24"/>
                <w:szCs w:val="24"/>
                <w:lang w:bidi="ar"/>
                <w14:textFill>
                  <w14:solidFill>
                    <w14:schemeClr w14:val="tx1"/>
                  </w14:solidFill>
                </w14:textFill>
              </w:rPr>
              <w:t>工程类</w:t>
            </w:r>
          </w:p>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bidi="ar"/>
                <w14:textFill>
                  <w14:solidFill>
                    <w14:schemeClr w14:val="tx1"/>
                  </w14:solidFill>
                </w14:textFill>
              </w:rPr>
              <w:t>（工程施工）</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 工程施工</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A0801 建筑工程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A080102 地基处理工程、A080104 土建工程、A080105 电气工程、A080106 建筑给水排水工程、A080107 钢结构工程、A080108 通风与空调工程、A080109 装饰装修工程、A080110 幕墙工程、A080111 电子与智能化工程、A080112 电梯工程、A080113 消防设施工程、A080114 建筑机电安装、A080115 智能灯光工程、A080117 防水防腐保温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1004"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A0802 市政工程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Style w:val="12"/>
                <w:rFonts w:hint="default"/>
                <w:color w:val="000000" w:themeColor="text1"/>
                <w:sz w:val="24"/>
                <w:szCs w:val="24"/>
                <w:lang w:bidi="ar"/>
                <w14:textFill>
                  <w14:solidFill>
                    <w14:schemeClr w14:val="tx1"/>
                  </w14:solidFill>
                </w14:textFill>
              </w:rPr>
              <w:t>A080201 道路工程、A080202 桥梁工程、</w:t>
            </w:r>
            <w:r>
              <w:rPr>
                <w:rStyle w:val="11"/>
                <w:rFonts w:hint="default"/>
                <w:color w:val="000000" w:themeColor="text1"/>
                <w:sz w:val="24"/>
                <w:szCs w:val="24"/>
                <w:lang w:bidi="ar"/>
                <w14:textFill>
                  <w14:solidFill>
                    <w14:schemeClr w14:val="tx1"/>
                  </w14:solidFill>
                </w14:textFill>
              </w:rPr>
              <w:t>A080203 隧道工程</w:t>
            </w:r>
            <w:r>
              <w:rPr>
                <w:rStyle w:val="12"/>
                <w:rFonts w:hint="default"/>
                <w:color w:val="000000" w:themeColor="text1"/>
                <w:sz w:val="24"/>
                <w:szCs w:val="24"/>
                <w:lang w:bidi="ar"/>
                <w14:textFill>
                  <w14:solidFill>
                    <w14:schemeClr w14:val="tx1"/>
                  </w14:solidFill>
                </w14:textFill>
              </w:rPr>
              <w:t>、A080204 给水工程、A080205 排水工程、</w:t>
            </w:r>
            <w:r>
              <w:rPr>
                <w:rStyle w:val="11"/>
                <w:rFonts w:hint="default"/>
                <w:color w:val="000000" w:themeColor="text1"/>
                <w:sz w:val="24"/>
                <w:szCs w:val="24"/>
                <w:lang w:bidi="ar"/>
                <w14:textFill>
                  <w14:solidFill>
                    <w14:schemeClr w14:val="tx1"/>
                  </w14:solidFill>
                </w14:textFill>
              </w:rPr>
              <w:t>A080207 燃气工程、</w:t>
            </w:r>
            <w:r>
              <w:rPr>
                <w:rStyle w:val="12"/>
                <w:rFonts w:hint="default"/>
                <w:color w:val="000000" w:themeColor="text1"/>
                <w:sz w:val="24"/>
                <w:szCs w:val="24"/>
                <w:lang w:bidi="ar"/>
                <w14:textFill>
                  <w14:solidFill>
                    <w14:schemeClr w14:val="tx1"/>
                  </w14:solidFill>
                </w14:textFill>
              </w:rPr>
              <w:t>A080210 城市及道路照明工程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2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A0804 铁路工程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131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A0805 城市轨道交通工程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A080501 路基工程、A080502 轨道工程、A080503 桥涵工程、A080504 隧道、 地下结构工程、A080505 给水排水工程、A080506 供电工程、A080507 智能和控制系统工程、A080508 信号工程、A080509 通信工程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7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A0832 信息工程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A083201 计算机信息系统集成、A083202 计算机网络工程、A083203 软件系统开发、A083204 信息安全系统集成、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5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A0822 通信工程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A082201 线路工程、A082202 设备工程、A082203 系统集成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7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A0810 电力工程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A081003 输电工程、A081004 电力线路工程、A081005 供电用电工程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4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A0830 园林绿化工程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A0830 园林绿化工程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1056"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bidi="ar"/>
                <w14:textFill>
                  <w14:solidFill>
                    <w14:schemeClr w14:val="tx1"/>
                  </w14:solidFill>
                </w14:textFill>
              </w:rPr>
              <w:t>货物类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B01机电产品</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B0102 城市轨道工程设备</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B010201 通风设备、B010202 自动售检票、B010203 防灾报警设备及消防、B010204 屏蔽门设备、B010205 综合监控设备、B010206 车辆段设备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B0131 输配电设备、 设施</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7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B0132 计算机及网络设备</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B013204 网络安全设备、B013205 计算机配件及外设、B013206 计算机存储设备、B013207 网络设备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B0133 计算机系统软件</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B013301 系统软件、B013302 支撑软件、B013303 应用软件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107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B0134 环保设备</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Style w:val="12"/>
                <w:rFonts w:hint="default"/>
                <w:color w:val="000000" w:themeColor="text1"/>
                <w:sz w:val="24"/>
                <w:szCs w:val="24"/>
                <w:lang w:bidi="ar"/>
                <w14:textFill>
                  <w14:solidFill>
                    <w14:schemeClr w14:val="tx1"/>
                  </w14:solidFill>
                </w14:textFill>
              </w:rPr>
              <w:t>B013401 环境监测仪器设备、</w:t>
            </w:r>
            <w:r>
              <w:rPr>
                <w:rStyle w:val="11"/>
                <w:rFonts w:hint="default"/>
                <w:color w:val="000000" w:themeColor="text1"/>
                <w:sz w:val="24"/>
                <w:szCs w:val="24"/>
                <w:lang w:bidi="ar"/>
                <w14:textFill>
                  <w14:solidFill>
                    <w14:schemeClr w14:val="tx1"/>
                  </w14:solidFill>
                </w14:textFill>
              </w:rPr>
              <w:t>B013402 水污染治理设备</w:t>
            </w:r>
            <w:r>
              <w:rPr>
                <w:rStyle w:val="12"/>
                <w:rFonts w:hint="default"/>
                <w:color w:val="000000" w:themeColor="text1"/>
                <w:sz w:val="24"/>
                <w:szCs w:val="24"/>
                <w:lang w:bidi="ar"/>
                <w14:textFill>
                  <w14:solidFill>
                    <w14:schemeClr w14:val="tx1"/>
                  </w14:solidFill>
                </w14:textFill>
              </w:rPr>
              <w:t>、B013403 噪声与振动治理设备、B013404 固体废弃物处理处置设备、B013405 危险废弃物处理处置设备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B07 建筑材料</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B0701 水泥及水泥制品、B0702 木材、B0703 石材、B0704 陶瓷制品、B0705 其他建筑材料、B0706 新型材料</w:t>
            </w:r>
          </w:p>
        </w:tc>
        <w:tc>
          <w:tcPr>
            <w:tcW w:w="6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6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6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6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975"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通用物资</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B090101 办公设备、B090102 家具、B090103 办公耗材、B090118 应急救援设备、B090119 劳动防护用品</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bidi="ar"/>
                <w14:textFill>
                  <w14:solidFill>
                    <w14:schemeClr w14:val="tx1"/>
                  </w14:solidFill>
                </w14:textFill>
              </w:rPr>
              <w:t>服务类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C01勘察与调查</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C0102 地质调查、C0103 生态与资源调查、C0105 水文监测与调查、C0107 水土保持调查与监测、C0108 地质环境调查</w:t>
            </w:r>
          </w:p>
        </w:tc>
        <w:tc>
          <w:tcPr>
            <w:tcW w:w="6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6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6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6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6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113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C02 公共咨询</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C020111 公共安全评估、C020115 信息系统咨询、C020119 水土保持咨询、C020132 节能评估咨询、C020136 生产安全评价、C020139 环境影响评价与评估</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C03 经济管理</w:t>
            </w:r>
          </w:p>
        </w:tc>
        <w:tc>
          <w:tcPr>
            <w:tcW w:w="390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C0304 建筑经济管理、C0305 投资经济管理、C0309 财税管理、C0310 审计管理、C0313 合同管理</w:t>
            </w:r>
          </w:p>
        </w:tc>
        <w:tc>
          <w:tcPr>
            <w:tcW w:w="6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6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6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C04 工商管理</w:t>
            </w:r>
          </w:p>
        </w:tc>
        <w:tc>
          <w:tcPr>
            <w:tcW w:w="390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Style w:val="12"/>
                <w:rFonts w:hint="default"/>
                <w:color w:val="000000" w:themeColor="text1"/>
                <w:sz w:val="24"/>
                <w:szCs w:val="24"/>
                <w:lang w:bidi="ar"/>
                <w14:textFill>
                  <w14:solidFill>
                    <w14:schemeClr w14:val="tx1"/>
                  </w14:solidFill>
                </w14:textFill>
              </w:rPr>
              <w:t>C0402 财务管理、C0404 人力资源管理、C0406 房地产管理、</w:t>
            </w:r>
            <w:r>
              <w:rPr>
                <w:rStyle w:val="11"/>
                <w:rFonts w:hint="default"/>
                <w:color w:val="000000" w:themeColor="text1"/>
                <w:sz w:val="24"/>
                <w:szCs w:val="24"/>
                <w:lang w:bidi="ar"/>
                <w14:textFill>
                  <w14:solidFill>
                    <w14:schemeClr w14:val="tx1"/>
                  </w14:solidFill>
                </w14:textFill>
              </w:rPr>
              <w:t>C0410 物业管理</w:t>
            </w:r>
          </w:p>
        </w:tc>
        <w:tc>
          <w:tcPr>
            <w:tcW w:w="6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6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6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2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C06 法律</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民商法、行政法、经济法、诉讼法等</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C07 运维、 评估与修理</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C0701 机械设备修理、电子通信产品维护与修理、C0705 信息系统运维与评估</w:t>
            </w:r>
          </w:p>
        </w:tc>
        <w:tc>
          <w:tcPr>
            <w:tcW w:w="6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6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6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 w:val="24"/>
                <w:szCs w:val="24"/>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2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C12 其他服务</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C1201 社会公共安全服务</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C120106 保安服务、C120102 消防技术</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2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themeColor="text1"/>
                <w:szCs w:val="21"/>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C1205 培训</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Cs w:val="21"/>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2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themeColor="text1"/>
                <w:szCs w:val="21"/>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C1210 物业服务</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Cs w:val="21"/>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2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themeColor="text1"/>
                <w:szCs w:val="21"/>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C1212 档案管理</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Cs w:val="21"/>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27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themeColor="text1"/>
                <w:szCs w:val="21"/>
                <w14:textFill>
                  <w14:solidFill>
                    <w14:schemeClr w14:val="tx1"/>
                  </w14:solidFill>
                </w14:textFill>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C1213 检验检测</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Cs w:val="21"/>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Cs w:val="21"/>
              </w:rPr>
            </w:pPr>
          </w:p>
        </w:tc>
      </w:tr>
    </w:tbl>
    <w:p>
      <w:pPr>
        <w:ind w:left="720" w:hanging="720" w:hangingChars="300"/>
        <w:rPr>
          <w:rFonts w:ascii="宋体" w:hAnsi="宋体" w:eastAsia="宋体" w:cs="宋体"/>
          <w:sz w:val="24"/>
          <w:szCs w:val="24"/>
        </w:rPr>
      </w:pPr>
      <w:r>
        <w:rPr>
          <w:rFonts w:hint="eastAsia" w:ascii="宋体" w:hAnsi="宋体" w:eastAsia="宋体" w:cs="宋体"/>
          <w:sz w:val="24"/>
          <w:szCs w:val="24"/>
        </w:rPr>
        <w:t>备注：1.上述专业划分依据国家发改委“关于印发《公共资源交易评标专家专业分类标准》的通知”（发改法规〔2018〕316号）中公共资源交易评标专家专业分类标准进行分类；</w:t>
      </w:r>
    </w:p>
    <w:p>
      <w:pPr>
        <w:ind w:left="720"/>
        <w:rPr>
          <w:rFonts w:ascii="仿宋" w:hAnsi="仿宋" w:eastAsia="仿宋" w:cs="仿宋"/>
          <w:sz w:val="24"/>
          <w:szCs w:val="24"/>
        </w:rPr>
        <w:sectPr>
          <w:headerReference r:id="rId5" w:type="default"/>
          <w:footerReference r:id="rId6"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start="14"/>
          <w:cols w:space="425" w:num="1"/>
          <w:docGrid w:type="lines" w:linePitch="312" w:charSpace="0"/>
        </w:sectPr>
      </w:pPr>
      <w:r>
        <w:rPr>
          <w:rFonts w:hint="eastAsia" w:ascii="宋体" w:hAnsi="宋体" w:eastAsia="宋体" w:cs="宋体"/>
          <w:sz w:val="24"/>
          <w:szCs w:val="24"/>
        </w:rPr>
        <w:t>2.部分专业划分过细，专家人数过少问题，可按照项目需要的专业评审深度，从上一级专业类别抽取或合并若干符合要求的专业抽取评标专家。</w:t>
      </w:r>
    </w:p>
    <w:p>
      <w:pPr>
        <w:spacing w:line="500" w:lineRule="exact"/>
        <w:rPr>
          <w:rFonts w:ascii="宋体" w:hAnsi="宋体" w:eastAsia="宋体" w:cs="宋体"/>
          <w:color w:val="000000"/>
          <w:sz w:val="32"/>
          <w:szCs w:val="32"/>
        </w:rPr>
      </w:pPr>
      <w:r>
        <w:rPr>
          <w:rFonts w:hint="eastAsia" w:ascii="宋体" w:hAnsi="宋体" w:cs="宋体"/>
          <w:color w:val="000000"/>
          <w:sz w:val="32"/>
          <w:szCs w:val="32"/>
        </w:rPr>
        <w:t>附件5</w:t>
      </w:r>
    </w:p>
    <w:p>
      <w:pPr>
        <w:spacing w:line="500" w:lineRule="exact"/>
        <w:jc w:val="center"/>
        <w:rPr>
          <w:rFonts w:ascii="宋体" w:hAnsi="宋体" w:cs="宋体"/>
          <w:color w:val="000000"/>
          <w:sz w:val="32"/>
          <w:szCs w:val="32"/>
        </w:rPr>
      </w:pPr>
      <w:r>
        <w:rPr>
          <w:rFonts w:hint="eastAsia" w:ascii="宋体" w:hAnsi="宋体" w:cs="宋体"/>
          <w:color w:val="000000"/>
          <w:sz w:val="32"/>
          <w:szCs w:val="32"/>
        </w:rPr>
        <w:t>制度衔接关系表</w:t>
      </w:r>
    </w:p>
    <w:p>
      <w:pPr>
        <w:spacing w:line="500" w:lineRule="exact"/>
        <w:jc w:val="center"/>
        <w:rPr>
          <w:rFonts w:ascii="宋体" w:hAnsi="宋体" w:cs="宋体"/>
          <w:color w:val="000000"/>
          <w:sz w:val="32"/>
          <w:szCs w:val="32"/>
        </w:rPr>
      </w:pPr>
    </w:p>
    <w:tbl>
      <w:tblPr>
        <w:tblStyle w:val="7"/>
        <w:tblW w:w="14218" w:type="dxa"/>
        <w:jc w:val="center"/>
        <w:tblLayout w:type="fixed"/>
        <w:tblCellMar>
          <w:top w:w="0" w:type="dxa"/>
          <w:left w:w="108" w:type="dxa"/>
          <w:bottom w:w="0" w:type="dxa"/>
          <w:right w:w="108" w:type="dxa"/>
        </w:tblCellMar>
      </w:tblPr>
      <w:tblGrid>
        <w:gridCol w:w="1442"/>
        <w:gridCol w:w="5670"/>
        <w:gridCol w:w="7106"/>
      </w:tblGrid>
      <w:tr>
        <w:tblPrEx>
          <w:tblCellMar>
            <w:top w:w="0" w:type="dxa"/>
            <w:left w:w="108" w:type="dxa"/>
            <w:bottom w:w="0" w:type="dxa"/>
            <w:right w:w="108" w:type="dxa"/>
          </w:tblCellMar>
        </w:tblPrEx>
        <w:trPr>
          <w:trHeight w:val="629" w:hRule="atLeast"/>
          <w:jc w:val="center"/>
        </w:trPr>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层级</w:t>
            </w:r>
          </w:p>
        </w:tc>
        <w:tc>
          <w:tcPr>
            <w:tcW w:w="5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衔接配套规章制度</w:t>
            </w:r>
          </w:p>
        </w:tc>
        <w:tc>
          <w:tcPr>
            <w:tcW w:w="7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衔接配套</w:t>
            </w:r>
            <w:r>
              <w:rPr>
                <w:rFonts w:hint="eastAsia" w:ascii="宋体" w:hAnsi="宋体" w:cs="宋体"/>
                <w:b/>
                <w:bCs/>
                <w:color w:val="000000"/>
                <w:sz w:val="24"/>
                <w:szCs w:val="24"/>
              </w:rPr>
              <w:t>内容</w:t>
            </w:r>
          </w:p>
        </w:tc>
      </w:tr>
      <w:tr>
        <w:tblPrEx>
          <w:tblCellMar>
            <w:top w:w="0" w:type="dxa"/>
            <w:left w:w="108" w:type="dxa"/>
            <w:bottom w:w="0" w:type="dxa"/>
            <w:right w:w="108" w:type="dxa"/>
          </w:tblCellMar>
        </w:tblPrEx>
        <w:trPr>
          <w:trHeight w:val="1098" w:hRule="atLeast"/>
          <w:jc w:val="center"/>
        </w:trPr>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上级</w:t>
            </w:r>
          </w:p>
        </w:tc>
        <w:tc>
          <w:tcPr>
            <w:tcW w:w="5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7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r>
      <w:tr>
        <w:tblPrEx>
          <w:tblCellMar>
            <w:top w:w="0" w:type="dxa"/>
            <w:left w:w="108" w:type="dxa"/>
            <w:bottom w:w="0" w:type="dxa"/>
            <w:right w:w="108" w:type="dxa"/>
          </w:tblCellMar>
        </w:tblPrEx>
        <w:trPr>
          <w:trHeight w:val="1198" w:hRule="atLeast"/>
          <w:jc w:val="center"/>
        </w:trPr>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平级</w:t>
            </w:r>
          </w:p>
        </w:tc>
        <w:tc>
          <w:tcPr>
            <w:tcW w:w="5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7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r>
      <w:tr>
        <w:tblPrEx>
          <w:tblCellMar>
            <w:top w:w="0" w:type="dxa"/>
            <w:left w:w="108" w:type="dxa"/>
            <w:bottom w:w="0" w:type="dxa"/>
            <w:right w:w="108" w:type="dxa"/>
          </w:tblCellMar>
        </w:tblPrEx>
        <w:trPr>
          <w:trHeight w:val="1144" w:hRule="atLeast"/>
          <w:jc w:val="center"/>
        </w:trPr>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下级</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7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r>
    </w:tbl>
    <w:p>
      <w:pPr>
        <w:rPr>
          <w:color w:val="000000"/>
          <w:sz w:val="24"/>
        </w:rPr>
      </w:pPr>
      <w:r>
        <w:rPr>
          <w:rFonts w:hint="eastAsia"/>
          <w:color w:val="000000"/>
          <w:sz w:val="24"/>
        </w:rPr>
        <w:br w:type="page"/>
      </w:r>
    </w:p>
    <w:p>
      <w:pPr>
        <w:spacing w:line="520" w:lineRule="exact"/>
        <w:rPr>
          <w:color w:val="000000"/>
          <w:sz w:val="24"/>
        </w:rPr>
      </w:pPr>
    </w:p>
    <w:p>
      <w:pPr>
        <w:spacing w:line="520" w:lineRule="exact"/>
        <w:rPr>
          <w:color w:val="000000"/>
          <w:sz w:val="24"/>
        </w:rPr>
      </w:pP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355"/>
        <w:gridCol w:w="2979"/>
        <w:gridCol w:w="1036"/>
        <w:gridCol w:w="1589"/>
        <w:gridCol w:w="1266"/>
        <w:gridCol w:w="1085"/>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14174" w:type="dxa"/>
            <w:gridSpan w:val="8"/>
            <w:vAlign w:val="center"/>
          </w:tcPr>
          <w:p>
            <w:pPr>
              <w:jc w:val="center"/>
              <w:rPr>
                <w:rFonts w:ascii="宋体" w:hAnsi="宋体"/>
                <w:bCs/>
                <w:color w:val="000000"/>
                <w:sz w:val="24"/>
                <w:szCs w:val="24"/>
              </w:rPr>
            </w:pPr>
            <w:r>
              <w:rPr>
                <w:rFonts w:hint="eastAsia" w:ascii="宋体" w:hAnsi="宋体"/>
                <w:bCs/>
                <w:color w:val="000000"/>
                <w:sz w:val="24"/>
                <w:szCs w:val="24"/>
              </w:rPr>
              <w:t>标准历史追踪表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97" w:type="dxa"/>
            <w:vAlign w:val="center"/>
          </w:tcPr>
          <w:p>
            <w:pPr>
              <w:jc w:val="center"/>
              <w:rPr>
                <w:rFonts w:ascii="宋体" w:hAnsi="宋体"/>
                <w:bCs/>
                <w:color w:val="000000"/>
                <w:sz w:val="24"/>
                <w:szCs w:val="24"/>
              </w:rPr>
            </w:pPr>
            <w:r>
              <w:rPr>
                <w:rFonts w:hint="eastAsia" w:ascii="宋体" w:hAnsi="宋体"/>
                <w:bCs/>
                <w:color w:val="000000"/>
                <w:sz w:val="24"/>
                <w:szCs w:val="24"/>
              </w:rPr>
              <w:t>序号</w:t>
            </w:r>
          </w:p>
        </w:tc>
        <w:tc>
          <w:tcPr>
            <w:tcW w:w="3355" w:type="dxa"/>
            <w:vAlign w:val="center"/>
          </w:tcPr>
          <w:p>
            <w:pPr>
              <w:jc w:val="center"/>
              <w:rPr>
                <w:rFonts w:ascii="宋体" w:hAnsi="宋体"/>
                <w:bCs/>
                <w:color w:val="000000"/>
                <w:sz w:val="24"/>
                <w:szCs w:val="24"/>
              </w:rPr>
            </w:pPr>
            <w:r>
              <w:rPr>
                <w:rFonts w:hint="eastAsia" w:ascii="宋体" w:hAnsi="宋体"/>
                <w:bCs/>
                <w:color w:val="000000"/>
                <w:sz w:val="24"/>
                <w:szCs w:val="24"/>
              </w:rPr>
              <w:t>标准名称</w:t>
            </w:r>
          </w:p>
        </w:tc>
        <w:tc>
          <w:tcPr>
            <w:tcW w:w="2979" w:type="dxa"/>
            <w:vAlign w:val="center"/>
          </w:tcPr>
          <w:p>
            <w:pPr>
              <w:jc w:val="center"/>
              <w:rPr>
                <w:rFonts w:ascii="宋体" w:hAnsi="宋体"/>
                <w:bCs/>
                <w:color w:val="000000"/>
                <w:sz w:val="24"/>
                <w:szCs w:val="24"/>
              </w:rPr>
            </w:pPr>
            <w:r>
              <w:rPr>
                <w:rFonts w:hint="eastAsia" w:ascii="宋体" w:hAnsi="宋体"/>
                <w:bCs/>
                <w:color w:val="000000"/>
                <w:sz w:val="24"/>
                <w:szCs w:val="24"/>
              </w:rPr>
              <w:t>编号</w:t>
            </w:r>
          </w:p>
        </w:tc>
        <w:tc>
          <w:tcPr>
            <w:tcW w:w="1036" w:type="dxa"/>
            <w:vAlign w:val="center"/>
          </w:tcPr>
          <w:p>
            <w:pPr>
              <w:jc w:val="center"/>
              <w:rPr>
                <w:rFonts w:ascii="宋体" w:hAnsi="宋体"/>
                <w:bCs/>
                <w:color w:val="000000"/>
                <w:sz w:val="24"/>
                <w:szCs w:val="24"/>
              </w:rPr>
            </w:pPr>
            <w:r>
              <w:rPr>
                <w:rFonts w:hint="eastAsia" w:ascii="宋体" w:hAnsi="宋体"/>
                <w:bCs/>
                <w:color w:val="000000"/>
                <w:sz w:val="24"/>
                <w:szCs w:val="24"/>
              </w:rPr>
              <w:t>版本</w:t>
            </w:r>
          </w:p>
        </w:tc>
        <w:tc>
          <w:tcPr>
            <w:tcW w:w="1589" w:type="dxa"/>
            <w:vAlign w:val="center"/>
          </w:tcPr>
          <w:p>
            <w:pPr>
              <w:jc w:val="center"/>
              <w:rPr>
                <w:rFonts w:ascii="宋体" w:hAnsi="宋体"/>
                <w:bCs/>
                <w:color w:val="000000"/>
                <w:sz w:val="24"/>
                <w:szCs w:val="24"/>
              </w:rPr>
            </w:pPr>
            <w:r>
              <w:rPr>
                <w:rFonts w:hint="eastAsia" w:ascii="宋体" w:hAnsi="宋体"/>
                <w:bCs/>
                <w:color w:val="000000"/>
                <w:sz w:val="24"/>
                <w:szCs w:val="24"/>
              </w:rPr>
              <w:t>编写/修订人</w:t>
            </w:r>
          </w:p>
        </w:tc>
        <w:tc>
          <w:tcPr>
            <w:tcW w:w="1266" w:type="dxa"/>
            <w:vAlign w:val="center"/>
          </w:tcPr>
          <w:p>
            <w:pPr>
              <w:jc w:val="center"/>
              <w:rPr>
                <w:rFonts w:ascii="宋体" w:hAnsi="宋体"/>
                <w:bCs/>
                <w:color w:val="000000"/>
                <w:sz w:val="24"/>
                <w:szCs w:val="24"/>
              </w:rPr>
            </w:pPr>
            <w:r>
              <w:rPr>
                <w:rFonts w:hint="eastAsia" w:ascii="宋体" w:hAnsi="宋体"/>
                <w:bCs/>
                <w:color w:val="000000"/>
                <w:sz w:val="24"/>
                <w:szCs w:val="24"/>
              </w:rPr>
              <w:t>审核人</w:t>
            </w:r>
          </w:p>
        </w:tc>
        <w:tc>
          <w:tcPr>
            <w:tcW w:w="1085" w:type="dxa"/>
            <w:vAlign w:val="center"/>
          </w:tcPr>
          <w:p>
            <w:pPr>
              <w:jc w:val="center"/>
              <w:rPr>
                <w:rFonts w:ascii="宋体" w:hAnsi="宋体"/>
                <w:bCs/>
                <w:color w:val="000000"/>
                <w:sz w:val="24"/>
                <w:szCs w:val="24"/>
              </w:rPr>
            </w:pPr>
            <w:r>
              <w:rPr>
                <w:rFonts w:hint="eastAsia" w:ascii="宋体" w:hAnsi="宋体"/>
                <w:bCs/>
                <w:color w:val="000000"/>
                <w:sz w:val="24"/>
                <w:szCs w:val="24"/>
              </w:rPr>
              <w:t>批准人</w:t>
            </w:r>
          </w:p>
        </w:tc>
        <w:tc>
          <w:tcPr>
            <w:tcW w:w="2067" w:type="dxa"/>
            <w:vAlign w:val="center"/>
          </w:tcPr>
          <w:p>
            <w:pPr>
              <w:jc w:val="center"/>
              <w:rPr>
                <w:rFonts w:ascii="宋体" w:hAnsi="宋体"/>
                <w:bCs/>
                <w:color w:val="000000"/>
                <w:sz w:val="24"/>
                <w:szCs w:val="24"/>
              </w:rPr>
            </w:pPr>
            <w:r>
              <w:rPr>
                <w:rFonts w:hint="eastAsia" w:ascii="宋体" w:hAnsi="宋体"/>
                <w:bCs/>
                <w:color w:val="000000"/>
                <w:sz w:val="24"/>
                <w:szCs w:val="24"/>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97" w:type="dxa"/>
            <w:vAlign w:val="center"/>
          </w:tcPr>
          <w:p>
            <w:pPr>
              <w:jc w:val="center"/>
              <w:rPr>
                <w:rFonts w:ascii="宋体" w:hAnsi="宋体"/>
                <w:bCs/>
                <w:color w:val="000000"/>
                <w:sz w:val="24"/>
                <w:szCs w:val="24"/>
              </w:rPr>
            </w:pPr>
            <w:r>
              <w:rPr>
                <w:rFonts w:hint="eastAsia" w:ascii="宋体" w:hAnsi="宋体"/>
                <w:bCs/>
                <w:color w:val="000000"/>
                <w:sz w:val="24"/>
                <w:szCs w:val="24"/>
              </w:rPr>
              <w:t>1</w:t>
            </w:r>
          </w:p>
        </w:tc>
        <w:tc>
          <w:tcPr>
            <w:tcW w:w="3355" w:type="dxa"/>
            <w:vAlign w:val="center"/>
          </w:tcPr>
          <w:p>
            <w:pPr>
              <w:jc w:val="center"/>
              <w:rPr>
                <w:rFonts w:ascii="宋体" w:hAnsi="宋体"/>
                <w:bCs/>
                <w:color w:val="000000"/>
                <w:sz w:val="24"/>
                <w:szCs w:val="24"/>
              </w:rPr>
            </w:pPr>
            <w:r>
              <w:rPr>
                <w:rFonts w:hint="eastAsia" w:ascii="宋体" w:hAnsi="宋体"/>
                <w:bCs/>
                <w:color w:val="000000"/>
                <w:sz w:val="24"/>
                <w:szCs w:val="24"/>
              </w:rPr>
              <w:t>深圳市建材交易集团有限公司</w:t>
            </w:r>
          </w:p>
          <w:p>
            <w:pPr>
              <w:jc w:val="center"/>
              <w:rPr>
                <w:rFonts w:ascii="宋体" w:hAnsi="宋体"/>
                <w:bCs/>
                <w:color w:val="000000"/>
                <w:sz w:val="24"/>
                <w:szCs w:val="24"/>
              </w:rPr>
            </w:pPr>
            <w:r>
              <w:rPr>
                <w:rFonts w:hint="eastAsia" w:ascii="宋体" w:hAnsi="宋体"/>
                <w:bCs/>
                <w:color w:val="000000"/>
                <w:sz w:val="24"/>
                <w:szCs w:val="24"/>
              </w:rPr>
              <w:t>外部专家库管理办法</w:t>
            </w:r>
          </w:p>
        </w:tc>
        <w:tc>
          <w:tcPr>
            <w:tcW w:w="2979" w:type="dxa"/>
            <w:vAlign w:val="center"/>
          </w:tcPr>
          <w:p>
            <w:pPr>
              <w:jc w:val="center"/>
              <w:rPr>
                <w:rFonts w:ascii="宋体" w:hAnsi="宋体" w:eastAsia="宋体" w:cs="Times New Roman"/>
                <w:bCs/>
                <w:color w:val="000000"/>
                <w:sz w:val="24"/>
                <w:szCs w:val="24"/>
              </w:rPr>
            </w:pPr>
          </w:p>
        </w:tc>
        <w:tc>
          <w:tcPr>
            <w:tcW w:w="1036" w:type="dxa"/>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A</w:t>
            </w:r>
          </w:p>
        </w:tc>
        <w:tc>
          <w:tcPr>
            <w:tcW w:w="1589" w:type="dxa"/>
            <w:vAlign w:val="center"/>
          </w:tcPr>
          <w:p>
            <w:pPr>
              <w:jc w:val="center"/>
              <w:rPr>
                <w:rFonts w:ascii="宋体" w:hAnsi="宋体"/>
                <w:bCs/>
                <w:color w:val="000000"/>
                <w:sz w:val="24"/>
                <w:szCs w:val="24"/>
              </w:rPr>
            </w:pPr>
            <w:r>
              <w:rPr>
                <w:rFonts w:hint="eastAsia" w:ascii="宋体" w:hAnsi="宋体"/>
                <w:bCs/>
                <w:color w:val="000000"/>
                <w:sz w:val="24"/>
                <w:szCs w:val="24"/>
              </w:rPr>
              <w:t>袁瑶/顾陈茜</w:t>
            </w:r>
          </w:p>
        </w:tc>
        <w:tc>
          <w:tcPr>
            <w:tcW w:w="1266" w:type="dxa"/>
            <w:vAlign w:val="center"/>
          </w:tcPr>
          <w:p>
            <w:pPr>
              <w:jc w:val="center"/>
              <w:rPr>
                <w:rFonts w:ascii="宋体" w:hAnsi="宋体"/>
                <w:bCs/>
                <w:color w:val="000000"/>
                <w:sz w:val="24"/>
                <w:szCs w:val="24"/>
              </w:rPr>
            </w:pPr>
            <w:r>
              <w:rPr>
                <w:rFonts w:hint="eastAsia" w:ascii="宋体" w:hAnsi="宋体"/>
                <w:bCs/>
                <w:color w:val="000000"/>
                <w:sz w:val="24"/>
                <w:szCs w:val="24"/>
              </w:rPr>
              <w:t>朴玉斌</w:t>
            </w:r>
          </w:p>
        </w:tc>
        <w:tc>
          <w:tcPr>
            <w:tcW w:w="1085" w:type="dxa"/>
            <w:vAlign w:val="center"/>
          </w:tcPr>
          <w:p>
            <w:pPr>
              <w:jc w:val="center"/>
              <w:rPr>
                <w:rFonts w:ascii="宋体" w:hAnsi="宋体"/>
                <w:bCs/>
                <w:color w:val="000000"/>
                <w:sz w:val="24"/>
                <w:szCs w:val="24"/>
              </w:rPr>
            </w:pPr>
            <w:r>
              <w:rPr>
                <w:rFonts w:hint="eastAsia" w:ascii="宋体" w:hAnsi="宋体"/>
                <w:bCs/>
                <w:color w:val="000000"/>
                <w:sz w:val="24"/>
                <w:szCs w:val="24"/>
              </w:rPr>
              <w:t>华翠</w:t>
            </w:r>
          </w:p>
        </w:tc>
        <w:tc>
          <w:tcPr>
            <w:tcW w:w="2067" w:type="dxa"/>
            <w:vAlign w:val="center"/>
          </w:tcPr>
          <w:p>
            <w:pPr>
              <w:jc w:val="center"/>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jc w:val="center"/>
        </w:trPr>
        <w:tc>
          <w:tcPr>
            <w:tcW w:w="797" w:type="dxa"/>
            <w:vAlign w:val="center"/>
          </w:tcPr>
          <w:p>
            <w:pPr>
              <w:jc w:val="center"/>
              <w:rPr>
                <w:rFonts w:ascii="宋体" w:hAnsi="宋体" w:eastAsia="宋体"/>
                <w:bCs/>
                <w:color w:val="000000"/>
                <w:sz w:val="24"/>
                <w:szCs w:val="24"/>
              </w:rPr>
            </w:pPr>
          </w:p>
        </w:tc>
        <w:tc>
          <w:tcPr>
            <w:tcW w:w="3355" w:type="dxa"/>
            <w:vAlign w:val="center"/>
          </w:tcPr>
          <w:p>
            <w:pPr>
              <w:jc w:val="center"/>
              <w:rPr>
                <w:rFonts w:ascii="宋体" w:hAnsi="宋体"/>
                <w:bCs/>
                <w:color w:val="000000"/>
                <w:sz w:val="24"/>
                <w:szCs w:val="24"/>
              </w:rPr>
            </w:pPr>
          </w:p>
        </w:tc>
        <w:tc>
          <w:tcPr>
            <w:tcW w:w="2979" w:type="dxa"/>
            <w:vAlign w:val="center"/>
          </w:tcPr>
          <w:p>
            <w:pPr>
              <w:jc w:val="center"/>
              <w:rPr>
                <w:rFonts w:ascii="宋体" w:hAnsi="宋体" w:eastAsia="宋体"/>
                <w:bCs/>
                <w:color w:val="000000"/>
                <w:sz w:val="24"/>
                <w:szCs w:val="24"/>
              </w:rPr>
            </w:pPr>
          </w:p>
        </w:tc>
        <w:tc>
          <w:tcPr>
            <w:tcW w:w="1036" w:type="dxa"/>
            <w:vAlign w:val="center"/>
          </w:tcPr>
          <w:p>
            <w:pPr>
              <w:jc w:val="center"/>
              <w:rPr>
                <w:rFonts w:ascii="宋体" w:hAnsi="宋体" w:eastAsia="宋体"/>
                <w:bCs/>
                <w:color w:val="000000"/>
                <w:sz w:val="24"/>
                <w:szCs w:val="24"/>
              </w:rPr>
            </w:pPr>
          </w:p>
        </w:tc>
        <w:tc>
          <w:tcPr>
            <w:tcW w:w="1589" w:type="dxa"/>
            <w:vAlign w:val="center"/>
          </w:tcPr>
          <w:p>
            <w:pPr>
              <w:jc w:val="center"/>
              <w:rPr>
                <w:rFonts w:ascii="宋体" w:hAnsi="宋体" w:eastAsia="宋体"/>
                <w:bCs/>
                <w:color w:val="000000"/>
                <w:sz w:val="24"/>
                <w:szCs w:val="24"/>
              </w:rPr>
            </w:pPr>
          </w:p>
        </w:tc>
        <w:tc>
          <w:tcPr>
            <w:tcW w:w="1266" w:type="dxa"/>
            <w:vAlign w:val="center"/>
          </w:tcPr>
          <w:p>
            <w:pPr>
              <w:jc w:val="center"/>
              <w:rPr>
                <w:rFonts w:ascii="宋体" w:hAnsi="宋体" w:eastAsia="宋体"/>
                <w:bCs/>
                <w:color w:val="000000"/>
                <w:sz w:val="24"/>
                <w:szCs w:val="24"/>
              </w:rPr>
            </w:pPr>
          </w:p>
        </w:tc>
        <w:tc>
          <w:tcPr>
            <w:tcW w:w="1085" w:type="dxa"/>
            <w:vAlign w:val="center"/>
          </w:tcPr>
          <w:p>
            <w:pPr>
              <w:jc w:val="center"/>
              <w:rPr>
                <w:rFonts w:ascii="宋体" w:hAnsi="宋体" w:eastAsia="宋体"/>
                <w:bCs/>
                <w:color w:val="000000"/>
                <w:sz w:val="24"/>
                <w:szCs w:val="24"/>
              </w:rPr>
            </w:pPr>
          </w:p>
        </w:tc>
        <w:tc>
          <w:tcPr>
            <w:tcW w:w="2067" w:type="dxa"/>
            <w:vAlign w:val="center"/>
          </w:tcPr>
          <w:p>
            <w:pPr>
              <w:jc w:val="center"/>
              <w:rPr>
                <w:rFonts w:ascii="宋体" w:hAnsi="宋体"/>
                <w:bCs/>
                <w:color w:val="000000"/>
                <w:sz w:val="24"/>
                <w:szCs w:val="24"/>
              </w:rPr>
            </w:pPr>
          </w:p>
        </w:tc>
      </w:tr>
    </w:tbl>
    <w:p>
      <w:pPr>
        <w:tabs>
          <w:tab w:val="left" w:pos="1279"/>
        </w:tabs>
        <w:jc w:val="left"/>
        <w:rPr>
          <w:color w:val="000000"/>
        </w:rPr>
      </w:pPr>
    </w:p>
    <w:p>
      <w:pPr>
        <w:rPr>
          <w:rFonts w:ascii="宋体" w:hAnsi="宋体" w:eastAsia="宋体" w:cs="宋体"/>
          <w:sz w:val="24"/>
          <w:szCs w:val="24"/>
        </w:rPr>
      </w:pPr>
    </w:p>
    <w:sectPr>
      <w:headerReference r:id="rId7" w:type="default"/>
      <w:footerReference r:id="rId8"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4wXtkBAAC1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YbRykQwvDwmYjeQzq3HfhMjus1B9jR5eVz+XA9V&#10;969t+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gG4wXtkBAAC1AwAADgAAAAAAAAABACAA&#10;AAAeAQAAZHJzL2Uyb0RvYy54bWxQSwUGAAAAAAYABgBZAQAAa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B6NrnLaAQAAtQMAAA4AAAAAAAAAAQAg&#10;AAAAHgEAAGRycy9lMm9Eb2MueG1sUEsFBgAAAAAGAAYAWQEAAGo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AGuwbLaAQAAtQMAAA4AAAAAAAAAAQAg&#10;AAAAHgEAAGRycy9lMm9Eb2MueG1sUEsFBgAAAAAGAAYAWQEAAGo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single" w:color="auto" w:sz="4" w:space="1"/>
        <w:right w:val="none" w:color="auto" w:sz="0" w:space="4"/>
      </w:pBdr>
      <w:tabs>
        <w:tab w:val="center" w:pos="4153"/>
        <w:tab w:val="right" w:pos="8306"/>
      </w:tabs>
      <w:snapToGrid w:val="0"/>
      <w:jc w:val="center"/>
      <w:rPr>
        <w:rFonts w:ascii="Calibri" w:hAnsi="Calibri" w:eastAsia="宋体" w:cs="Times New Roman"/>
        <w:sz w:val="18"/>
        <w:szCs w:val="24"/>
      </w:rPr>
    </w:pPr>
    <w:r>
      <w:rPr>
        <w:rFonts w:hint="eastAsia" w:ascii="隶书" w:hAnsi="隶书" w:eastAsia="隶书" w:cs="隶书"/>
        <w:bCs/>
        <w:sz w:val="32"/>
        <w:szCs w:val="32"/>
      </w:rPr>
      <w:t>深圳市建材交易集团有限公司企业标准</w:t>
    </w:r>
    <w:r>
      <w:rPr>
        <w:rFonts w:hint="eastAsia" w:ascii="隶书" w:hAnsi="Calibri" w:eastAsia="隶书" w:cs="Times New Roman"/>
        <w:bCs/>
        <w:sz w:val="32"/>
        <w:szCs w:val="32"/>
      </w:rPr>
      <w:t xml:space="preserve">          </w:t>
    </w:r>
    <w:r>
      <w:rPr>
        <w:rFonts w:ascii="Calibri" w:hAnsi="Calibri" w:eastAsia="宋体" w:cs="Times New Roman"/>
        <w:sz w:val="18"/>
        <w:szCs w:val="24"/>
      </w:rPr>
      <w:drawing>
        <wp:inline distT="0" distB="0" distL="0" distR="0">
          <wp:extent cx="760095" cy="196215"/>
          <wp:effectExtent l="0" t="0" r="1905" b="13335"/>
          <wp:docPr id="898973021" name="图片 898973021" descr="C:\Users\liaojiamin\Desktop\简称标准版.png简称标准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73021" name="图片 898973021" descr="C:\Users\liaojiamin\Desktop\简称标准版.png简称标准版"/>
                  <pic:cNvPicPr>
                    <a:picLocks noChangeAspect="1" noChangeArrowheads="1"/>
                  </pic:cNvPicPr>
                </pic:nvPicPr>
                <pic:blipFill>
                  <a:blip r:embed="rId1"/>
                  <a:srcRect/>
                  <a:stretch>
                    <a:fillRect/>
                  </a:stretch>
                </pic:blipFill>
                <pic:spPr>
                  <a:xfrm>
                    <a:off x="0" y="0"/>
                    <a:ext cx="760095" cy="196215"/>
                  </a:xfrm>
                  <a:prstGeom prst="rect">
                    <a:avLst/>
                  </a:prstGeom>
                  <a:noFill/>
                  <a:ln>
                    <a:noFill/>
                  </a:ln>
                </pic:spPr>
              </pic:pic>
            </a:graphicData>
          </a:graphic>
        </wp:inline>
      </w:drawing>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single" w:color="auto" w:sz="4" w:space="1"/>
        <w:right w:val="none" w:color="auto" w:sz="0" w:space="4"/>
      </w:pBdr>
      <w:tabs>
        <w:tab w:val="center" w:pos="4153"/>
        <w:tab w:val="right" w:pos="8306"/>
      </w:tabs>
      <w:snapToGrid w:val="0"/>
      <w:jc w:val="center"/>
      <w:rPr>
        <w:rFonts w:ascii="Calibri" w:hAnsi="Calibri" w:eastAsia="宋体" w:cs="Times New Roman"/>
        <w:sz w:val="18"/>
        <w:szCs w:val="24"/>
      </w:rPr>
    </w:pPr>
    <w:r>
      <w:rPr>
        <w:rFonts w:hint="eastAsia" w:ascii="隶书" w:hAnsi="隶书" w:eastAsia="隶书" w:cs="隶书"/>
        <w:bCs/>
        <w:sz w:val="32"/>
        <w:szCs w:val="32"/>
      </w:rPr>
      <w:t>深圳市建材交易集团有限公司企业标准</w:t>
    </w:r>
    <w:r>
      <w:rPr>
        <w:rFonts w:hint="eastAsia" w:ascii="隶书" w:hAnsi="Calibri" w:eastAsia="隶书" w:cs="Times New Roman"/>
        <w:bCs/>
        <w:sz w:val="32"/>
        <w:szCs w:val="32"/>
      </w:rPr>
      <w:t xml:space="preserve">                                           </w:t>
    </w:r>
    <w:r>
      <w:rPr>
        <w:rFonts w:ascii="Calibri" w:hAnsi="Calibri" w:eastAsia="宋体" w:cs="Times New Roman"/>
        <w:sz w:val="18"/>
        <w:szCs w:val="24"/>
      </w:rPr>
      <w:drawing>
        <wp:inline distT="0" distB="0" distL="0" distR="0">
          <wp:extent cx="760095" cy="196215"/>
          <wp:effectExtent l="0" t="0" r="1905" b="13335"/>
          <wp:docPr id="1564226350" name="图片 1564226350" descr="C:\Users\liaojiamin\Desktop\简称标准版.png简称标准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26350" name="图片 1564226350" descr="C:\Users\liaojiamin\Desktop\简称标准版.png简称标准版"/>
                  <pic:cNvPicPr>
                    <a:picLocks noChangeAspect="1" noChangeArrowheads="1"/>
                  </pic:cNvPicPr>
                </pic:nvPicPr>
                <pic:blipFill>
                  <a:blip r:embed="rId1"/>
                  <a:srcRect/>
                  <a:stretch>
                    <a:fillRect/>
                  </a:stretch>
                </pic:blipFill>
                <pic:spPr>
                  <a:xfrm>
                    <a:off x="0" y="0"/>
                    <a:ext cx="760095" cy="196215"/>
                  </a:xfrm>
                  <a:prstGeom prst="rect">
                    <a:avLst/>
                  </a:prstGeom>
                  <a:noFill/>
                  <a:ln>
                    <a:noFill/>
                  </a:ln>
                </pic:spPr>
              </pic:pic>
            </a:graphicData>
          </a:graphic>
        </wp:inline>
      </w:drawing>
    </w:r>
  </w:p>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single" w:color="auto" w:sz="4" w:space="1"/>
        <w:right w:val="none" w:color="auto" w:sz="0" w:space="4"/>
      </w:pBdr>
      <w:tabs>
        <w:tab w:val="center" w:pos="4153"/>
        <w:tab w:val="right" w:pos="8306"/>
      </w:tabs>
      <w:snapToGrid w:val="0"/>
      <w:jc w:val="center"/>
      <w:rPr>
        <w:rFonts w:ascii="Calibri" w:hAnsi="Calibri" w:eastAsia="宋体" w:cs="Times New Roman"/>
        <w:sz w:val="18"/>
        <w:szCs w:val="24"/>
      </w:rPr>
    </w:pPr>
    <w:r>
      <w:rPr>
        <w:rFonts w:hint="eastAsia" w:ascii="隶书" w:hAnsi="隶书" w:eastAsia="隶书" w:cs="隶书"/>
        <w:bCs/>
        <w:sz w:val="32"/>
        <w:szCs w:val="32"/>
      </w:rPr>
      <w:t>深圳市建材交易集团有限公司企业标准</w:t>
    </w:r>
    <w:r>
      <w:rPr>
        <w:rFonts w:hint="eastAsia" w:ascii="隶书" w:hAnsi="Calibri" w:eastAsia="隶书" w:cs="Times New Roman"/>
        <w:bCs/>
        <w:sz w:val="32"/>
        <w:szCs w:val="32"/>
      </w:rPr>
      <w:t xml:space="preserve">                                            </w:t>
    </w:r>
    <w:r>
      <w:rPr>
        <w:rFonts w:ascii="Calibri" w:hAnsi="Calibri" w:eastAsia="宋体" w:cs="Times New Roman"/>
        <w:sz w:val="18"/>
        <w:szCs w:val="24"/>
      </w:rPr>
      <w:drawing>
        <wp:inline distT="0" distB="0" distL="0" distR="0">
          <wp:extent cx="760095" cy="196215"/>
          <wp:effectExtent l="0" t="0" r="1905" b="13335"/>
          <wp:docPr id="768120052" name="图片 768120052" descr="C:\Users\liaojiamin\Desktop\简称标准版.png简称标准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20052" name="图片 768120052" descr="C:\Users\liaojiamin\Desktop\简称标准版.png简称标准版"/>
                  <pic:cNvPicPr>
                    <a:picLocks noChangeAspect="1" noChangeArrowheads="1"/>
                  </pic:cNvPicPr>
                </pic:nvPicPr>
                <pic:blipFill>
                  <a:blip r:embed="rId1"/>
                  <a:srcRect/>
                  <a:stretch>
                    <a:fillRect/>
                  </a:stretch>
                </pic:blipFill>
                <pic:spPr>
                  <a:xfrm>
                    <a:off x="0" y="0"/>
                    <a:ext cx="760095" cy="196215"/>
                  </a:xfrm>
                  <a:prstGeom prst="rect">
                    <a:avLst/>
                  </a:prstGeom>
                  <a:noFill/>
                  <a:ln>
                    <a:noFill/>
                  </a:ln>
                </pic:spPr>
              </pic:pic>
            </a:graphicData>
          </a:graphic>
        </wp:inline>
      </w:drawing>
    </w:r>
    <w:r>
      <w:rPr>
        <w:rFonts w:hint="eastAsia" w:ascii="隶书" w:hAnsi="Calibri" w:eastAsia="隶书" w:cs="Times New Roman"/>
        <w:bCs/>
        <w:sz w:val="32"/>
        <w:szCs w:val="32"/>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MDM3ZDMyNDQ1M2MzNjEzZWYxNmZlMDRlYmZlYjIifQ=="/>
  </w:docVars>
  <w:rsids>
    <w:rsidRoot w:val="00322AE9"/>
    <w:rsid w:val="00143B21"/>
    <w:rsid w:val="001A0EE9"/>
    <w:rsid w:val="001B2908"/>
    <w:rsid w:val="001C58C7"/>
    <w:rsid w:val="001F40D1"/>
    <w:rsid w:val="00204704"/>
    <w:rsid w:val="0026376B"/>
    <w:rsid w:val="00282E62"/>
    <w:rsid w:val="002B17DB"/>
    <w:rsid w:val="00322AE9"/>
    <w:rsid w:val="00324014"/>
    <w:rsid w:val="003A70D9"/>
    <w:rsid w:val="003E2C3E"/>
    <w:rsid w:val="005355FF"/>
    <w:rsid w:val="005A4EB6"/>
    <w:rsid w:val="005F2C31"/>
    <w:rsid w:val="005F5C6A"/>
    <w:rsid w:val="006270C6"/>
    <w:rsid w:val="00731978"/>
    <w:rsid w:val="007A4687"/>
    <w:rsid w:val="00810D48"/>
    <w:rsid w:val="00822F4D"/>
    <w:rsid w:val="0083153C"/>
    <w:rsid w:val="008917F8"/>
    <w:rsid w:val="008973FB"/>
    <w:rsid w:val="008C5C42"/>
    <w:rsid w:val="009547AE"/>
    <w:rsid w:val="00977175"/>
    <w:rsid w:val="009963B3"/>
    <w:rsid w:val="009C5407"/>
    <w:rsid w:val="009E6F93"/>
    <w:rsid w:val="00A373D0"/>
    <w:rsid w:val="00A438B0"/>
    <w:rsid w:val="00A84A40"/>
    <w:rsid w:val="00AE7832"/>
    <w:rsid w:val="00B207A9"/>
    <w:rsid w:val="00B74BDE"/>
    <w:rsid w:val="00C12402"/>
    <w:rsid w:val="00C17CF6"/>
    <w:rsid w:val="00C56340"/>
    <w:rsid w:val="00C807AD"/>
    <w:rsid w:val="00CA2656"/>
    <w:rsid w:val="00CB2114"/>
    <w:rsid w:val="00CF67EB"/>
    <w:rsid w:val="00D366EB"/>
    <w:rsid w:val="00D3780C"/>
    <w:rsid w:val="00DD7B93"/>
    <w:rsid w:val="00EB157E"/>
    <w:rsid w:val="00EE6396"/>
    <w:rsid w:val="00EF6816"/>
    <w:rsid w:val="00F40964"/>
    <w:rsid w:val="00FB20CF"/>
    <w:rsid w:val="02201D8C"/>
    <w:rsid w:val="0497799B"/>
    <w:rsid w:val="07B32CD1"/>
    <w:rsid w:val="09942AA5"/>
    <w:rsid w:val="0A762E91"/>
    <w:rsid w:val="0BE51B00"/>
    <w:rsid w:val="0CCF09D7"/>
    <w:rsid w:val="0CD75A2C"/>
    <w:rsid w:val="0D747B53"/>
    <w:rsid w:val="0F8D65C5"/>
    <w:rsid w:val="122F0186"/>
    <w:rsid w:val="13A0517E"/>
    <w:rsid w:val="18BA36C4"/>
    <w:rsid w:val="1969236A"/>
    <w:rsid w:val="19EA4D01"/>
    <w:rsid w:val="1A243D02"/>
    <w:rsid w:val="1E52511C"/>
    <w:rsid w:val="1F684662"/>
    <w:rsid w:val="220F5175"/>
    <w:rsid w:val="22752EAA"/>
    <w:rsid w:val="227C0925"/>
    <w:rsid w:val="24BD6399"/>
    <w:rsid w:val="25EC3654"/>
    <w:rsid w:val="275C581A"/>
    <w:rsid w:val="28F037C9"/>
    <w:rsid w:val="2B340A1E"/>
    <w:rsid w:val="2D5A30FD"/>
    <w:rsid w:val="2EC90F31"/>
    <w:rsid w:val="2F1408A5"/>
    <w:rsid w:val="2F45089C"/>
    <w:rsid w:val="2F9A05F8"/>
    <w:rsid w:val="3698777B"/>
    <w:rsid w:val="3806073F"/>
    <w:rsid w:val="3DFE0463"/>
    <w:rsid w:val="3E3C4586"/>
    <w:rsid w:val="3F64577A"/>
    <w:rsid w:val="3F7857D8"/>
    <w:rsid w:val="41017357"/>
    <w:rsid w:val="44DA6B5E"/>
    <w:rsid w:val="4C473059"/>
    <w:rsid w:val="51D07D5D"/>
    <w:rsid w:val="522D6F09"/>
    <w:rsid w:val="53595E6C"/>
    <w:rsid w:val="53997D83"/>
    <w:rsid w:val="53D0442D"/>
    <w:rsid w:val="59307B04"/>
    <w:rsid w:val="59D83FA3"/>
    <w:rsid w:val="5B047B84"/>
    <w:rsid w:val="5B897D29"/>
    <w:rsid w:val="60F80B8B"/>
    <w:rsid w:val="65604344"/>
    <w:rsid w:val="678546CD"/>
    <w:rsid w:val="67EC2FBF"/>
    <w:rsid w:val="6D88438C"/>
    <w:rsid w:val="719C3880"/>
    <w:rsid w:val="75EB631F"/>
    <w:rsid w:val="77FB3798"/>
    <w:rsid w:val="79E11D4E"/>
    <w:rsid w:val="7A0F1B9D"/>
    <w:rsid w:val="7E4B53AD"/>
    <w:rsid w:val="7F483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adjustRightInd w:val="0"/>
      <w:spacing w:before="260" w:after="260" w:line="416" w:lineRule="atLeast"/>
      <w:textAlignment w:val="baseline"/>
      <w:outlineLvl w:val="1"/>
    </w:pPr>
    <w:rPr>
      <w:rFonts w:ascii="黑体" w:hAnsi="黑体" w:eastAsia="黑体"/>
      <w:kern w:val="0"/>
      <w:sz w:val="24"/>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font31"/>
    <w:basedOn w:val="9"/>
    <w:qFormat/>
    <w:uiPriority w:val="0"/>
    <w:rPr>
      <w:rFonts w:hint="eastAsia" w:ascii="宋体" w:hAnsi="宋体" w:eastAsia="宋体" w:cs="宋体"/>
      <w:color w:val="FF0000"/>
      <w:sz w:val="22"/>
      <w:szCs w:val="22"/>
      <w:u w:val="none"/>
    </w:rPr>
  </w:style>
  <w:style w:type="character" w:customStyle="1" w:styleId="12">
    <w:name w:val="font01"/>
    <w:basedOn w:val="9"/>
    <w:qFormat/>
    <w:uiPriority w:val="0"/>
    <w:rPr>
      <w:rFonts w:hint="eastAsia" w:ascii="宋体" w:hAnsi="宋体" w:eastAsia="宋体" w:cs="宋体"/>
      <w:color w:val="000000"/>
      <w:sz w:val="22"/>
      <w:szCs w:val="22"/>
      <w:u w:val="none"/>
    </w:rPr>
  </w:style>
  <w:style w:type="paragraph" w:customStyle="1" w:styleId="13">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6472</Words>
  <Characters>7841</Characters>
  <Lines>73</Lines>
  <Paragraphs>20</Paragraphs>
  <TotalTime>6</TotalTime>
  <ScaleCrop>false</ScaleCrop>
  <LinksUpToDate>false</LinksUpToDate>
  <CharactersWithSpaces>8295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2023-06-18T03:12:00Z</dcterms:created>
  <dc:creator>616366897@qq.com</dc:creator>
  <cp:lastModifiedBy>木子子85147</cp:lastModifiedBy>
  <cp:lastPrinted>2023-06-09T08:52:00Z</cp:lastPrinted>
  <dcterms:modified xsi:type="dcterms:W3CDTF">2023-06-26T07:49:18Z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D6BC3B88FDEE4EF8B65D9048D57B1144_13</vt:lpwstr>
  </property>
</Properties>
</file>